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50" w:rsidRDefault="00C46503" w:rsidP="005628EE">
      <w:pPr>
        <w:spacing w:line="276" w:lineRule="auto"/>
        <w:rPr>
          <w:rFonts w:asciiTheme="majorHAnsi" w:hAnsiTheme="majorHAnsi" w:cs="Helvetica-Bold"/>
          <w:b/>
          <w:bCs/>
          <w:noProof/>
          <w:sz w:val="28"/>
          <w:szCs w:val="28"/>
          <w:lang w:val="en-US" w:eastAsia="hr-HR"/>
        </w:rPr>
      </w:pPr>
      <w:r w:rsidRPr="008E718A">
        <w:rPr>
          <w:rFonts w:asciiTheme="majorHAnsi" w:hAnsiTheme="majorHAnsi" w:cs="Helvetica-Bold"/>
          <w:bCs/>
          <w:noProof/>
          <w:sz w:val="28"/>
          <w:szCs w:val="28"/>
          <w:lang w:val="hu-HU" w:eastAsia="hu-HU"/>
        </w:rPr>
        <w:drawing>
          <wp:inline distT="0" distB="0" distL="0" distR="0" wp14:anchorId="7B958D67" wp14:editId="335EA6C0">
            <wp:extent cx="1363586" cy="1456661"/>
            <wp:effectExtent l="19050" t="0" r="8014"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522" cy="1454457"/>
                    </a:xfrm>
                    <a:prstGeom prst="rect">
                      <a:avLst/>
                    </a:prstGeom>
                  </pic:spPr>
                </pic:pic>
              </a:graphicData>
            </a:graphic>
          </wp:inline>
        </w:drawing>
      </w:r>
      <w:r>
        <w:rPr>
          <w:rFonts w:asciiTheme="majorHAnsi" w:hAnsiTheme="majorHAnsi" w:cs="Helvetica-Bold"/>
          <w:b/>
          <w:bCs/>
          <w:noProof/>
          <w:sz w:val="28"/>
          <w:szCs w:val="28"/>
          <w:lang w:val="en-US" w:eastAsia="hr-HR"/>
        </w:rPr>
        <w:tab/>
      </w:r>
      <w:r>
        <w:rPr>
          <w:rFonts w:asciiTheme="majorHAnsi" w:hAnsiTheme="majorHAnsi" w:cs="Helvetica-Bold"/>
          <w:b/>
          <w:bCs/>
          <w:noProof/>
          <w:sz w:val="28"/>
          <w:szCs w:val="28"/>
          <w:lang w:val="en-US" w:eastAsia="hr-HR"/>
        </w:rPr>
        <w:tab/>
      </w:r>
      <w:r>
        <w:rPr>
          <w:rFonts w:asciiTheme="majorHAnsi" w:hAnsiTheme="majorHAnsi" w:cs="Helvetica-Bold"/>
          <w:b/>
          <w:bCs/>
          <w:noProof/>
          <w:sz w:val="28"/>
          <w:szCs w:val="28"/>
          <w:lang w:val="en-US" w:eastAsia="hr-HR"/>
        </w:rPr>
        <w:tab/>
      </w:r>
      <w:r>
        <w:rPr>
          <w:rFonts w:asciiTheme="majorHAnsi" w:hAnsiTheme="majorHAnsi" w:cs="Helvetica-Bold"/>
          <w:b/>
          <w:bCs/>
          <w:noProof/>
          <w:sz w:val="28"/>
          <w:szCs w:val="28"/>
          <w:lang w:val="en-US" w:eastAsia="hr-HR"/>
        </w:rPr>
        <w:tab/>
      </w:r>
      <w:r>
        <w:rPr>
          <w:rFonts w:asciiTheme="majorHAnsi" w:hAnsiTheme="majorHAnsi" w:cs="Helvetica-Bold"/>
          <w:b/>
          <w:bCs/>
          <w:noProof/>
          <w:sz w:val="28"/>
          <w:szCs w:val="28"/>
          <w:lang w:val="en-US" w:eastAsia="hr-HR"/>
        </w:rPr>
        <w:tab/>
      </w:r>
      <w:r>
        <w:rPr>
          <w:rFonts w:asciiTheme="majorHAnsi" w:hAnsiTheme="majorHAnsi" w:cs="Helvetica-Bold"/>
          <w:b/>
          <w:bCs/>
          <w:noProof/>
          <w:sz w:val="28"/>
          <w:szCs w:val="28"/>
          <w:lang w:val="en-US" w:eastAsia="hr-HR"/>
        </w:rPr>
        <w:tab/>
      </w:r>
      <w:r>
        <w:rPr>
          <w:noProof/>
          <w:lang w:val="hu-HU" w:eastAsia="hu-HU"/>
        </w:rPr>
        <w:drawing>
          <wp:inline distT="0" distB="0" distL="0" distR="0" wp14:anchorId="56C3136E" wp14:editId="759CB29A">
            <wp:extent cx="1417320" cy="1417320"/>
            <wp:effectExtent l="0" t="0" r="0" b="0"/>
            <wp:docPr id="2" name="Slika 2" descr="Image result for es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sre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rsidR="0070053C" w:rsidRDefault="0070053C" w:rsidP="005628EE">
      <w:pPr>
        <w:spacing w:after="120"/>
        <w:jc w:val="center"/>
        <w:rPr>
          <w:rFonts w:asciiTheme="majorHAnsi" w:hAnsiTheme="majorHAnsi" w:cs="Helvetica-Bold"/>
          <w:bCs/>
          <w:sz w:val="28"/>
          <w:szCs w:val="28"/>
        </w:rPr>
      </w:pPr>
    </w:p>
    <w:p w:rsidR="0070053C" w:rsidRDefault="0070053C" w:rsidP="005628EE">
      <w:pPr>
        <w:spacing w:after="120"/>
        <w:jc w:val="center"/>
        <w:rPr>
          <w:rFonts w:asciiTheme="majorHAnsi" w:hAnsiTheme="majorHAnsi" w:cs="Helvetica-Bold"/>
          <w:bCs/>
          <w:sz w:val="28"/>
          <w:szCs w:val="28"/>
        </w:rPr>
      </w:pPr>
    </w:p>
    <w:p w:rsidR="0070053C" w:rsidRDefault="0070053C" w:rsidP="005628EE">
      <w:pPr>
        <w:spacing w:after="120"/>
        <w:jc w:val="center"/>
        <w:rPr>
          <w:rFonts w:asciiTheme="majorHAnsi" w:hAnsiTheme="majorHAnsi" w:cs="Helvetica-Bold"/>
          <w:bCs/>
          <w:sz w:val="28"/>
          <w:szCs w:val="28"/>
        </w:rPr>
      </w:pPr>
    </w:p>
    <w:p w:rsidR="00CF7494" w:rsidRDefault="00CF7494" w:rsidP="005628EE">
      <w:pPr>
        <w:spacing w:after="120"/>
        <w:jc w:val="center"/>
        <w:rPr>
          <w:rFonts w:asciiTheme="majorHAnsi" w:hAnsiTheme="majorHAnsi" w:cs="Helvetica-Bold"/>
          <w:bCs/>
          <w:sz w:val="28"/>
          <w:szCs w:val="28"/>
        </w:rPr>
      </w:pPr>
    </w:p>
    <w:p w:rsidR="0070053C" w:rsidRDefault="0070053C" w:rsidP="005628EE">
      <w:pPr>
        <w:spacing w:after="120"/>
        <w:jc w:val="center"/>
        <w:rPr>
          <w:rFonts w:asciiTheme="majorHAnsi" w:hAnsiTheme="majorHAnsi" w:cs="Helvetica-Bold"/>
          <w:bCs/>
          <w:sz w:val="28"/>
          <w:szCs w:val="28"/>
        </w:rPr>
      </w:pPr>
    </w:p>
    <w:p w:rsidR="00E42350" w:rsidRPr="00700DCC" w:rsidRDefault="0070053C" w:rsidP="005628EE">
      <w:pPr>
        <w:spacing w:after="120"/>
        <w:jc w:val="center"/>
        <w:rPr>
          <w:rFonts w:asciiTheme="majorHAnsi" w:hAnsiTheme="majorHAnsi"/>
          <w:b/>
          <w:bCs/>
          <w:sz w:val="36"/>
          <w:szCs w:val="32"/>
          <w:lang w:val="en-US"/>
        </w:rPr>
      </w:pPr>
      <w:r w:rsidRPr="00700DCC">
        <w:rPr>
          <w:rFonts w:asciiTheme="majorHAnsi" w:hAnsiTheme="majorHAnsi" w:cs="AkzidenzGroteskSN-Black"/>
          <w:b/>
          <w:sz w:val="36"/>
          <w:szCs w:val="32"/>
        </w:rPr>
        <w:t xml:space="preserve"> </w:t>
      </w:r>
      <w:r w:rsidR="00E42350" w:rsidRPr="00700DCC">
        <w:rPr>
          <w:rFonts w:asciiTheme="majorHAnsi" w:hAnsiTheme="majorHAnsi"/>
          <w:b/>
          <w:bCs/>
          <w:sz w:val="36"/>
          <w:szCs w:val="32"/>
          <w:lang w:val="en-US"/>
        </w:rPr>
        <w:t>Education 2030 &amp; Adult Learning: Global Perspectives and Local Communities - Bridges or Gaps? Agendas, praxis and research.</w:t>
      </w:r>
    </w:p>
    <w:p w:rsidR="00E42350" w:rsidRDefault="00E42350" w:rsidP="00E42350">
      <w:pPr>
        <w:spacing w:line="276" w:lineRule="auto"/>
        <w:jc w:val="center"/>
        <w:rPr>
          <w:rFonts w:asciiTheme="majorHAnsi" w:hAnsiTheme="majorHAnsi" w:cs="Helvetica-Bold"/>
          <w:b/>
          <w:bCs/>
          <w:noProof/>
          <w:sz w:val="28"/>
          <w:szCs w:val="28"/>
          <w:lang w:val="en-US" w:eastAsia="hr-HR"/>
        </w:rPr>
      </w:pPr>
    </w:p>
    <w:p w:rsidR="001034CA" w:rsidRDefault="001034CA" w:rsidP="00816FBE">
      <w:pPr>
        <w:spacing w:line="276" w:lineRule="auto"/>
        <w:rPr>
          <w:rFonts w:asciiTheme="majorHAnsi" w:hAnsiTheme="majorHAnsi" w:cs="Helvetica-Bold"/>
          <w:b/>
          <w:bCs/>
          <w:noProof/>
          <w:sz w:val="28"/>
          <w:szCs w:val="28"/>
          <w:lang w:val="en-US" w:eastAsia="hr-HR"/>
        </w:rPr>
      </w:pPr>
    </w:p>
    <w:p w:rsidR="00CF7494" w:rsidRDefault="00CF7494" w:rsidP="00816FBE">
      <w:pPr>
        <w:spacing w:line="276" w:lineRule="auto"/>
        <w:rPr>
          <w:rFonts w:asciiTheme="majorHAnsi" w:hAnsiTheme="majorHAnsi" w:cs="Helvetica-Bold"/>
          <w:b/>
          <w:bCs/>
          <w:noProof/>
          <w:sz w:val="28"/>
          <w:szCs w:val="28"/>
          <w:lang w:val="en-US" w:eastAsia="hr-HR"/>
        </w:rPr>
      </w:pPr>
    </w:p>
    <w:p w:rsidR="00CF7494" w:rsidRDefault="00CF7494" w:rsidP="00816FBE">
      <w:pPr>
        <w:spacing w:line="276" w:lineRule="auto"/>
        <w:rPr>
          <w:rFonts w:asciiTheme="majorHAnsi" w:hAnsiTheme="majorHAnsi" w:cs="Helvetica-Bold"/>
          <w:bCs/>
          <w:sz w:val="28"/>
          <w:szCs w:val="28"/>
        </w:rPr>
      </w:pPr>
    </w:p>
    <w:p w:rsidR="00CF7494" w:rsidRDefault="00CF7494" w:rsidP="0070053C">
      <w:pPr>
        <w:spacing w:line="276" w:lineRule="auto"/>
        <w:jc w:val="center"/>
        <w:rPr>
          <w:rFonts w:asciiTheme="majorHAnsi" w:hAnsiTheme="majorHAnsi" w:cs="Helvetica-Bold"/>
          <w:b/>
          <w:bCs/>
          <w:noProof/>
          <w:sz w:val="28"/>
          <w:szCs w:val="28"/>
          <w:lang w:val="en-US" w:eastAsia="hr-HR"/>
        </w:rPr>
      </w:pPr>
      <w:r>
        <w:rPr>
          <w:rFonts w:asciiTheme="majorHAnsi" w:hAnsiTheme="majorHAnsi" w:cs="Helvetica-Bold"/>
          <w:b/>
          <w:bCs/>
          <w:noProof/>
          <w:sz w:val="28"/>
          <w:szCs w:val="28"/>
          <w:lang w:val="en-US" w:eastAsia="hr-HR"/>
        </w:rPr>
        <w:t>Opatija, Croatia</w:t>
      </w:r>
    </w:p>
    <w:p w:rsidR="00505D9A" w:rsidRDefault="00505D9A" w:rsidP="0070053C">
      <w:pPr>
        <w:spacing w:line="276" w:lineRule="auto"/>
        <w:jc w:val="center"/>
        <w:rPr>
          <w:rFonts w:asciiTheme="majorHAnsi" w:hAnsiTheme="majorHAnsi" w:cs="Helvetica-Bold"/>
          <w:b/>
          <w:bCs/>
          <w:noProof/>
          <w:sz w:val="28"/>
          <w:szCs w:val="28"/>
          <w:highlight w:val="yellow"/>
          <w:lang w:val="en-US" w:eastAsia="hr-HR"/>
        </w:rPr>
      </w:pPr>
      <w:r w:rsidRPr="00E457A9">
        <w:rPr>
          <w:rFonts w:asciiTheme="majorHAnsi" w:hAnsiTheme="majorHAnsi" w:cs="Helvetica-Bold"/>
          <w:b/>
          <w:bCs/>
          <w:noProof/>
          <w:sz w:val="28"/>
          <w:szCs w:val="28"/>
          <w:lang w:val="en-US" w:eastAsia="hr-HR"/>
        </w:rPr>
        <w:t>7-10 June</w:t>
      </w:r>
      <w:r w:rsidRPr="00505D9A">
        <w:rPr>
          <w:rFonts w:asciiTheme="majorHAnsi" w:hAnsiTheme="majorHAnsi" w:cs="Helvetica-Bold"/>
          <w:b/>
          <w:bCs/>
          <w:noProof/>
          <w:sz w:val="28"/>
          <w:szCs w:val="28"/>
          <w:lang w:val="en-US" w:eastAsia="hr-HR"/>
        </w:rPr>
        <w:t xml:space="preserve"> 2018</w:t>
      </w:r>
    </w:p>
    <w:p w:rsidR="0070053C" w:rsidRDefault="0070053C" w:rsidP="0070053C">
      <w:pPr>
        <w:jc w:val="center"/>
        <w:rPr>
          <w:rFonts w:asciiTheme="majorHAnsi" w:hAnsiTheme="majorHAnsi" w:cs="Helvetica-Bold"/>
          <w:b/>
          <w:bCs/>
          <w:noProof/>
          <w:sz w:val="28"/>
          <w:szCs w:val="28"/>
          <w:lang w:val="en-US" w:eastAsia="hr-HR"/>
        </w:rPr>
      </w:pPr>
    </w:p>
    <w:p w:rsidR="00E457A9" w:rsidRDefault="00E457A9" w:rsidP="0070053C">
      <w:pPr>
        <w:jc w:val="center"/>
        <w:rPr>
          <w:rFonts w:asciiTheme="majorHAnsi" w:hAnsiTheme="majorHAnsi" w:cs="Helvetica-Bold"/>
          <w:b/>
          <w:bCs/>
          <w:sz w:val="28"/>
          <w:szCs w:val="28"/>
        </w:rPr>
      </w:pPr>
    </w:p>
    <w:p w:rsidR="0070053C" w:rsidRDefault="0070053C" w:rsidP="0070053C">
      <w:pPr>
        <w:jc w:val="center"/>
        <w:rPr>
          <w:rFonts w:asciiTheme="majorHAnsi" w:hAnsiTheme="majorHAnsi" w:cs="Helvetica-Bold"/>
          <w:bCs/>
          <w:sz w:val="28"/>
          <w:szCs w:val="28"/>
        </w:rPr>
      </w:pPr>
    </w:p>
    <w:p w:rsidR="0070053C" w:rsidRDefault="0070053C" w:rsidP="0070053C">
      <w:pPr>
        <w:jc w:val="center"/>
        <w:rPr>
          <w:rFonts w:asciiTheme="majorHAnsi" w:hAnsiTheme="majorHAnsi" w:cs="Helvetica-Bold"/>
          <w:bCs/>
          <w:sz w:val="28"/>
          <w:szCs w:val="28"/>
        </w:rPr>
      </w:pPr>
    </w:p>
    <w:p w:rsidR="0070053C" w:rsidRDefault="0070053C" w:rsidP="0070053C">
      <w:pPr>
        <w:jc w:val="center"/>
        <w:rPr>
          <w:rFonts w:asciiTheme="majorHAnsi" w:hAnsiTheme="majorHAnsi" w:cs="Helvetica-Bold"/>
          <w:bCs/>
          <w:sz w:val="28"/>
          <w:szCs w:val="28"/>
        </w:rPr>
      </w:pPr>
    </w:p>
    <w:p w:rsidR="0070053C" w:rsidRDefault="0070053C" w:rsidP="0070053C">
      <w:pPr>
        <w:jc w:val="center"/>
        <w:rPr>
          <w:rFonts w:asciiTheme="majorHAnsi" w:hAnsiTheme="majorHAnsi" w:cs="Helvetica-Bold"/>
          <w:bCs/>
          <w:sz w:val="28"/>
          <w:szCs w:val="28"/>
        </w:rPr>
      </w:pPr>
    </w:p>
    <w:p w:rsidR="0070053C" w:rsidRPr="009276AF" w:rsidRDefault="0070053C" w:rsidP="009276AF">
      <w:pPr>
        <w:jc w:val="center"/>
        <w:rPr>
          <w:rFonts w:asciiTheme="majorHAnsi" w:hAnsiTheme="majorHAnsi" w:cs="Helvetica-Bold"/>
          <w:bCs/>
          <w:sz w:val="28"/>
          <w:szCs w:val="28"/>
        </w:rPr>
      </w:pPr>
      <w:r w:rsidRPr="009276AF">
        <w:rPr>
          <w:rFonts w:asciiTheme="majorHAnsi" w:hAnsiTheme="majorHAnsi" w:cs="Helvetica-Bold"/>
          <w:bCs/>
          <w:sz w:val="28"/>
          <w:szCs w:val="28"/>
        </w:rPr>
        <w:t>Conference website:</w:t>
      </w:r>
    </w:p>
    <w:bookmarkStart w:id="0" w:name="_GoBack"/>
    <w:p w:rsidR="0070053C" w:rsidRPr="0070053C" w:rsidRDefault="00DF2E54" w:rsidP="009276AF">
      <w:pPr>
        <w:jc w:val="center"/>
        <w:rPr>
          <w:rFonts w:asciiTheme="majorHAnsi" w:hAnsiTheme="majorHAnsi" w:cs="Helvetica-Bold"/>
          <w:bCs/>
          <w:sz w:val="28"/>
          <w:szCs w:val="28"/>
        </w:rPr>
      </w:pPr>
      <w:r>
        <w:fldChar w:fldCharType="begin"/>
      </w:r>
      <w:r>
        <w:instrText xml:space="preserve"> HYPERLINK "http://www.dante-ri.hr/" </w:instrText>
      </w:r>
      <w:r>
        <w:fldChar w:fldCharType="separate"/>
      </w:r>
      <w:r w:rsidR="009276AF" w:rsidRPr="009276AF">
        <w:rPr>
          <w:rStyle w:val="Hiperhivatkozs"/>
          <w:rFonts w:asciiTheme="majorHAnsi" w:hAnsiTheme="majorHAnsi" w:cs="Helvetica-Bold"/>
          <w:bCs/>
          <w:sz w:val="28"/>
          <w:szCs w:val="28"/>
        </w:rPr>
        <w:t>http://www.dante-ri.hr/</w:t>
      </w:r>
      <w:r>
        <w:rPr>
          <w:rStyle w:val="Hiperhivatkozs"/>
          <w:rFonts w:asciiTheme="majorHAnsi" w:hAnsiTheme="majorHAnsi" w:cs="Helvetica-Bold"/>
          <w:bCs/>
          <w:sz w:val="28"/>
          <w:szCs w:val="28"/>
        </w:rPr>
        <w:fldChar w:fldCharType="end"/>
      </w:r>
      <w:bookmarkEnd w:id="0"/>
    </w:p>
    <w:p w:rsidR="0070053C" w:rsidRDefault="0070053C" w:rsidP="009276AF">
      <w:pPr>
        <w:spacing w:line="276" w:lineRule="auto"/>
        <w:jc w:val="center"/>
        <w:rPr>
          <w:rFonts w:asciiTheme="majorHAnsi" w:hAnsiTheme="majorHAnsi" w:cs="Helvetica-Bold"/>
          <w:bCs/>
          <w:sz w:val="28"/>
          <w:szCs w:val="28"/>
        </w:rPr>
      </w:pPr>
    </w:p>
    <w:p w:rsidR="00E457A9" w:rsidRDefault="00E457A9" w:rsidP="0070053C">
      <w:pPr>
        <w:spacing w:line="276" w:lineRule="auto"/>
        <w:rPr>
          <w:rFonts w:asciiTheme="majorHAnsi" w:hAnsiTheme="majorHAnsi" w:cs="Helvetica-Bold"/>
          <w:bCs/>
          <w:sz w:val="28"/>
          <w:szCs w:val="28"/>
        </w:rPr>
      </w:pPr>
    </w:p>
    <w:p w:rsidR="00E42350" w:rsidRDefault="00E42350" w:rsidP="00816FBE">
      <w:pPr>
        <w:spacing w:line="276" w:lineRule="auto"/>
        <w:rPr>
          <w:rFonts w:asciiTheme="majorHAnsi" w:hAnsiTheme="majorHAnsi" w:cs="Helvetica-Bold"/>
          <w:bCs/>
          <w:sz w:val="28"/>
          <w:szCs w:val="28"/>
        </w:rPr>
      </w:pPr>
    </w:p>
    <w:p w:rsidR="00CF7494" w:rsidRDefault="00CF7494" w:rsidP="00816FBE">
      <w:pPr>
        <w:spacing w:line="276" w:lineRule="auto"/>
        <w:rPr>
          <w:rFonts w:asciiTheme="majorHAnsi" w:hAnsiTheme="majorHAnsi" w:cs="Helvetica-Bold"/>
          <w:bCs/>
          <w:sz w:val="28"/>
          <w:szCs w:val="28"/>
        </w:rPr>
      </w:pPr>
    </w:p>
    <w:p w:rsidR="0070053C" w:rsidRDefault="0070053C" w:rsidP="0070053C">
      <w:pPr>
        <w:spacing w:line="276" w:lineRule="auto"/>
        <w:rPr>
          <w:rFonts w:asciiTheme="majorHAnsi" w:hAnsiTheme="majorHAnsi" w:cs="Helvetica-Bold"/>
          <w:b/>
          <w:bCs/>
          <w:noProof/>
          <w:sz w:val="28"/>
          <w:szCs w:val="28"/>
          <w:lang w:val="en-US" w:eastAsia="hr-HR"/>
        </w:rPr>
      </w:pPr>
    </w:p>
    <w:p w:rsidR="0070053C" w:rsidRDefault="0070053C" w:rsidP="0070053C">
      <w:pPr>
        <w:spacing w:line="276" w:lineRule="auto"/>
        <w:jc w:val="center"/>
        <w:rPr>
          <w:rFonts w:asciiTheme="majorHAnsi" w:hAnsiTheme="majorHAnsi" w:cs="Helvetica-Bold"/>
          <w:b/>
          <w:bCs/>
          <w:noProof/>
          <w:sz w:val="28"/>
          <w:szCs w:val="28"/>
          <w:lang w:val="en-US" w:eastAsia="hr-HR"/>
        </w:rPr>
      </w:pPr>
      <w:r>
        <w:rPr>
          <w:rFonts w:asciiTheme="majorHAnsi" w:hAnsiTheme="majorHAnsi" w:cs="Helvetica-Bold"/>
          <w:b/>
          <w:bCs/>
          <w:noProof/>
          <w:sz w:val="28"/>
          <w:szCs w:val="28"/>
          <w:lang w:val="en-US" w:eastAsia="hr-HR"/>
        </w:rPr>
        <w:t>Organised by:</w:t>
      </w:r>
    </w:p>
    <w:p w:rsidR="0070053C" w:rsidRDefault="0070053C" w:rsidP="0070053C">
      <w:pPr>
        <w:jc w:val="center"/>
        <w:rPr>
          <w:rFonts w:asciiTheme="majorHAnsi" w:hAnsiTheme="majorHAnsi" w:cs="Helvetica-Bold"/>
          <w:bCs/>
          <w:sz w:val="28"/>
          <w:szCs w:val="28"/>
        </w:rPr>
      </w:pPr>
      <w:r>
        <w:rPr>
          <w:rFonts w:asciiTheme="majorHAnsi" w:hAnsiTheme="majorHAnsi" w:cs="Helvetica-Bold"/>
          <w:bCs/>
          <w:sz w:val="28"/>
          <w:szCs w:val="28"/>
        </w:rPr>
        <w:t>ESREA n</w:t>
      </w:r>
      <w:r w:rsidRPr="0070053C">
        <w:rPr>
          <w:rFonts w:asciiTheme="majorHAnsi" w:hAnsiTheme="majorHAnsi" w:cs="Helvetica-Bold"/>
          <w:bCs/>
          <w:sz w:val="28"/>
          <w:szCs w:val="28"/>
        </w:rPr>
        <w:t xml:space="preserve">etwork </w:t>
      </w:r>
      <w:r w:rsidRPr="0070053C">
        <w:rPr>
          <w:rFonts w:asciiTheme="majorHAnsi" w:hAnsiTheme="majorHAnsi" w:cs="Helvetica-Bold"/>
          <w:bCs/>
          <w:i/>
          <w:sz w:val="28"/>
          <w:szCs w:val="28"/>
        </w:rPr>
        <w:t>Between Global and Local: Adult Learning and Communities</w:t>
      </w:r>
      <w:r>
        <w:rPr>
          <w:rFonts w:asciiTheme="majorHAnsi" w:hAnsiTheme="majorHAnsi" w:cs="Helvetica-Bold"/>
          <w:bCs/>
          <w:sz w:val="28"/>
          <w:szCs w:val="28"/>
        </w:rPr>
        <w:t xml:space="preserve"> and the Adult Education Institution Dante</w:t>
      </w:r>
    </w:p>
    <w:p w:rsidR="00CF36D8" w:rsidRDefault="00CF36D8" w:rsidP="00CF36D8">
      <w:pPr>
        <w:jc w:val="center"/>
        <w:rPr>
          <w:rFonts w:asciiTheme="majorHAnsi" w:hAnsiTheme="majorHAnsi"/>
          <w:b/>
          <w:lang w:val="en-US"/>
        </w:rPr>
      </w:pPr>
      <w:r>
        <w:rPr>
          <w:rFonts w:asciiTheme="majorHAnsi" w:hAnsiTheme="majorHAnsi"/>
          <w:b/>
          <w:lang w:val="en-US"/>
        </w:rPr>
        <w:lastRenderedPageBreak/>
        <w:t>ESREA Research Network</w:t>
      </w:r>
    </w:p>
    <w:p w:rsidR="00CF36D8" w:rsidRDefault="00CF36D8" w:rsidP="00CF36D8">
      <w:pPr>
        <w:jc w:val="center"/>
        <w:rPr>
          <w:rFonts w:asciiTheme="majorHAnsi" w:hAnsiTheme="majorHAnsi"/>
          <w:b/>
          <w:lang w:val="en-US"/>
        </w:rPr>
      </w:pPr>
      <w:r>
        <w:rPr>
          <w:rFonts w:asciiTheme="majorHAnsi" w:hAnsiTheme="majorHAnsi"/>
          <w:b/>
          <w:lang w:val="en-US"/>
        </w:rPr>
        <w:t>Between Global and Local: Adult Learning and Communities</w:t>
      </w:r>
    </w:p>
    <w:p w:rsidR="00CF36D8" w:rsidRDefault="00CF36D8" w:rsidP="00CF36D8">
      <w:pPr>
        <w:rPr>
          <w:rFonts w:asciiTheme="majorHAnsi" w:hAnsiTheme="majorHAnsi"/>
        </w:rPr>
      </w:pPr>
    </w:p>
    <w:p w:rsidR="00CF36D8" w:rsidRDefault="00CF36D8" w:rsidP="00CF36D8">
      <w:pPr>
        <w:rPr>
          <w:rFonts w:asciiTheme="majorHAnsi" w:hAnsiTheme="majorHAnsi"/>
          <w:b/>
          <w:bCs/>
          <w:lang w:val="en-US"/>
        </w:rPr>
      </w:pPr>
      <w:r>
        <w:rPr>
          <w:rFonts w:asciiTheme="majorHAnsi" w:hAnsiTheme="majorHAnsi"/>
        </w:rPr>
        <w:t>It is our pleasure to invite you to the 10</w:t>
      </w:r>
      <w:r>
        <w:rPr>
          <w:rFonts w:asciiTheme="majorHAnsi" w:hAnsiTheme="majorHAnsi"/>
          <w:vertAlign w:val="superscript"/>
        </w:rPr>
        <w:t>th</w:t>
      </w:r>
      <w:r>
        <w:rPr>
          <w:rFonts w:asciiTheme="majorHAnsi" w:hAnsiTheme="majorHAnsi"/>
        </w:rPr>
        <w:t xml:space="preserve"> ESREA Conference of the Between Global and Local: Adult Learning and Communities (BGL-ALC) Network titled </w:t>
      </w:r>
      <w:r>
        <w:rPr>
          <w:rFonts w:asciiTheme="majorHAnsi" w:hAnsiTheme="majorHAnsi"/>
          <w:b/>
          <w:bCs/>
          <w:lang w:val="en-US"/>
        </w:rPr>
        <w:t>Education 2030 &amp; Adult Learning: Global Perspectives and Local Communities - Bridges or Gaps? Agendas, praxis and research.</w:t>
      </w:r>
      <w:r>
        <w:rPr>
          <w:rFonts w:asciiTheme="majorHAnsi" w:hAnsiTheme="majorHAnsi"/>
        </w:rPr>
        <w:t xml:space="preserve">, that will be held in </w:t>
      </w:r>
      <w:proofErr w:type="spellStart"/>
      <w:r>
        <w:rPr>
          <w:rFonts w:asciiTheme="majorHAnsi" w:hAnsiTheme="majorHAnsi"/>
          <w:b/>
        </w:rPr>
        <w:t>Opatija</w:t>
      </w:r>
      <w:proofErr w:type="spellEnd"/>
      <w:r>
        <w:rPr>
          <w:rFonts w:asciiTheme="majorHAnsi" w:hAnsiTheme="majorHAnsi"/>
          <w:b/>
        </w:rPr>
        <w:t>, Croatia</w:t>
      </w:r>
      <w:r>
        <w:rPr>
          <w:rFonts w:asciiTheme="majorHAnsi" w:hAnsiTheme="majorHAnsi"/>
        </w:rPr>
        <w:t xml:space="preserve"> from</w:t>
      </w:r>
      <w:r>
        <w:rPr>
          <w:rFonts w:asciiTheme="majorHAnsi" w:hAnsiTheme="majorHAnsi"/>
          <w:b/>
        </w:rPr>
        <w:t xml:space="preserve"> 7</w:t>
      </w:r>
      <w:r>
        <w:rPr>
          <w:rFonts w:asciiTheme="majorHAnsi" w:hAnsiTheme="majorHAnsi"/>
        </w:rPr>
        <w:t xml:space="preserve"> to</w:t>
      </w:r>
      <w:r>
        <w:rPr>
          <w:rFonts w:asciiTheme="majorHAnsi" w:hAnsiTheme="majorHAnsi"/>
          <w:b/>
        </w:rPr>
        <w:t xml:space="preserve"> 10 June 2018</w:t>
      </w:r>
      <w:r>
        <w:rPr>
          <w:rFonts w:asciiTheme="majorHAnsi" w:hAnsiTheme="majorHAnsi"/>
        </w:rPr>
        <w:t xml:space="preserve">. </w:t>
      </w:r>
    </w:p>
    <w:p w:rsidR="00CF36D8" w:rsidRDefault="00CF36D8" w:rsidP="00CF36D8">
      <w:pPr>
        <w:rPr>
          <w:rFonts w:asciiTheme="majorHAnsi" w:hAnsiTheme="majorHAnsi"/>
        </w:rPr>
      </w:pPr>
    </w:p>
    <w:p w:rsidR="00CF36D8" w:rsidRDefault="00CF36D8" w:rsidP="00CF36D8">
      <w:pPr>
        <w:rPr>
          <w:rFonts w:asciiTheme="majorHAnsi" w:hAnsiTheme="majorHAnsi"/>
          <w:b/>
        </w:rPr>
      </w:pPr>
      <w:r>
        <w:rPr>
          <w:rFonts w:asciiTheme="majorHAnsi" w:hAnsiTheme="majorHAnsi"/>
          <w:b/>
        </w:rPr>
        <w:t xml:space="preserve">THE BGL-ALC NETWORK </w:t>
      </w:r>
    </w:p>
    <w:p w:rsidR="00CF36D8" w:rsidRDefault="00CF36D8" w:rsidP="00CF36D8">
      <w:pPr>
        <w:rPr>
          <w:rFonts w:asciiTheme="majorHAnsi" w:hAnsiTheme="majorHAnsi"/>
        </w:rPr>
      </w:pPr>
      <w:r>
        <w:rPr>
          <w:rFonts w:asciiTheme="majorHAnsi" w:hAnsiTheme="majorHAnsi"/>
        </w:rPr>
        <w:t xml:space="preserve">The BGL-ALC Network was established in 2006 to bring together European researchers committed to studying </w:t>
      </w:r>
      <w:r>
        <w:rPr>
          <w:rFonts w:asciiTheme="majorHAnsi" w:hAnsiTheme="majorHAnsi"/>
          <w:b/>
        </w:rPr>
        <w:t>community development and adult learning</w:t>
      </w:r>
      <w:r>
        <w:rPr>
          <w:rFonts w:asciiTheme="majorHAnsi" w:hAnsiTheme="majorHAnsi"/>
        </w:rPr>
        <w:t xml:space="preserve">. We believe that the social life of people in communities is a key element for understanding adult learning. In order to clearly identify </w:t>
      </w:r>
      <w:r>
        <w:rPr>
          <w:rFonts w:asciiTheme="majorHAnsi" w:hAnsiTheme="majorHAnsi"/>
          <w:b/>
        </w:rPr>
        <w:t>global and regional/local dimensions of adult learning processes</w:t>
      </w:r>
      <w:r>
        <w:rPr>
          <w:rFonts w:asciiTheme="majorHAnsi" w:hAnsiTheme="majorHAnsi"/>
        </w:rPr>
        <w:t xml:space="preserve"> and social change, different scales of community development need to be analysed together.</w:t>
      </w:r>
    </w:p>
    <w:p w:rsidR="00CF36D8" w:rsidRDefault="00CF36D8" w:rsidP="00CF36D8">
      <w:pPr>
        <w:rPr>
          <w:rFonts w:asciiTheme="majorHAnsi" w:hAnsiTheme="majorHAnsi"/>
        </w:rPr>
      </w:pPr>
      <w:r>
        <w:rPr>
          <w:rFonts w:asciiTheme="majorHAnsi" w:hAnsiTheme="majorHAnsi"/>
        </w:rPr>
        <w:t xml:space="preserve">Our aim was to create a network capable of encouraging research on development in the context of globalisation by using territorial and micro-scale approaches, urban and rural studies, studies of community regeneration, and locating learning places and spaces. All of these issues hinge on the centrality of adult learning in the processes of community development. </w:t>
      </w:r>
    </w:p>
    <w:p w:rsidR="00CF36D8" w:rsidRDefault="00CF36D8" w:rsidP="00CF36D8">
      <w:pPr>
        <w:rPr>
          <w:rFonts w:asciiTheme="majorHAnsi" w:hAnsiTheme="majorHAnsi"/>
        </w:rPr>
      </w:pPr>
    </w:p>
    <w:p w:rsidR="00CF36D8" w:rsidRDefault="00CF36D8" w:rsidP="00CF36D8">
      <w:pPr>
        <w:rPr>
          <w:rFonts w:ascii="Cambria" w:eastAsia="Calibri" w:hAnsi="Cambria" w:cs="Times New Roman"/>
          <w:b/>
        </w:rPr>
      </w:pPr>
      <w:r>
        <w:rPr>
          <w:rFonts w:ascii="Cambria" w:eastAsia="Calibri" w:hAnsi="Cambria" w:cs="Times New Roman"/>
          <w:b/>
        </w:rPr>
        <w:t>THE CONFERENCE THEME</w:t>
      </w:r>
    </w:p>
    <w:p w:rsidR="00CF36D8" w:rsidRDefault="00CF36D8" w:rsidP="00CF36D8">
      <w:pPr>
        <w:rPr>
          <w:rFonts w:ascii="Cambria" w:eastAsia="Calibri" w:hAnsi="Cambria" w:cs="Times New Roman"/>
          <w:b/>
        </w:rPr>
      </w:pPr>
      <w:r>
        <w:rPr>
          <w:rFonts w:ascii="Cambria" w:eastAsia="Calibri" w:hAnsi="Cambria" w:cs="Times New Roman"/>
          <w:b/>
        </w:rPr>
        <w:t xml:space="preserve">SDGs for Education </w:t>
      </w:r>
    </w:p>
    <w:p w:rsidR="00CF36D8" w:rsidRDefault="00CF36D8" w:rsidP="00CF36D8">
      <w:pPr>
        <w:rPr>
          <w:rFonts w:ascii="Cambria" w:eastAsia="Calibri" w:hAnsi="Cambria" w:cs="Times New Roman"/>
        </w:rPr>
      </w:pPr>
      <w:r>
        <w:rPr>
          <w:rFonts w:ascii="Cambria" w:eastAsia="Calibri" w:hAnsi="Cambria" w:cs="Times New Roman"/>
        </w:rPr>
        <w:t xml:space="preserve">In September 2015, UN member countries adopted a set of goals to end poverty, protect the planet, and ensure prosperity for all as part of the </w:t>
      </w:r>
      <w:r>
        <w:rPr>
          <w:rFonts w:ascii="Cambria" w:eastAsia="Calibri" w:hAnsi="Cambria" w:cs="Times New Roman"/>
          <w:b/>
        </w:rPr>
        <w:t>2030 Agenda for Sustainable Development</w:t>
      </w:r>
      <w:r>
        <w:rPr>
          <w:rFonts w:ascii="Cambria" w:eastAsia="Calibri" w:hAnsi="Cambria" w:cs="Times New Roman"/>
        </w:rPr>
        <w:t>. Each of the 17 Sustainable Development Goals (SDGs) has specific targets to be achieved in a 15-year period.</w:t>
      </w:r>
    </w:p>
    <w:p w:rsidR="00CF36D8" w:rsidRDefault="00CF36D8" w:rsidP="00CF36D8">
      <w:pPr>
        <w:rPr>
          <w:rFonts w:ascii="Cambria" w:eastAsia="Calibri" w:hAnsi="Cambria" w:cs="Times New Roman"/>
        </w:rPr>
      </w:pPr>
    </w:p>
    <w:p w:rsidR="00CF36D8" w:rsidRDefault="00CF36D8" w:rsidP="00CF36D8">
      <w:pPr>
        <w:rPr>
          <w:rFonts w:ascii="Cambria" w:eastAsia="Calibri" w:hAnsi="Cambria" w:cs="Times New Roman"/>
        </w:rPr>
      </w:pPr>
      <w:r>
        <w:rPr>
          <w:rFonts w:ascii="Cambria" w:eastAsia="Calibri" w:hAnsi="Cambria" w:cs="Times New Roman"/>
        </w:rPr>
        <w:t>The 2030 Agenda highlights education as a stand-alone goal (</w:t>
      </w:r>
      <w:r>
        <w:rPr>
          <w:rFonts w:ascii="Cambria" w:eastAsia="Calibri" w:hAnsi="Cambria" w:cs="Times New Roman"/>
          <w:b/>
        </w:rPr>
        <w:t>SDG 4</w:t>
      </w:r>
      <w:r>
        <w:rPr>
          <w:rFonts w:ascii="Cambria" w:eastAsia="Calibri" w:hAnsi="Cambria" w:cs="Times New Roman"/>
        </w:rPr>
        <w:t xml:space="preserve">), committed to providing </w:t>
      </w:r>
      <w:r>
        <w:rPr>
          <w:rFonts w:ascii="Cambria" w:eastAsia="Calibri" w:hAnsi="Cambria" w:cs="Times New Roman"/>
          <w:b/>
        </w:rPr>
        <w:t>inclusive and equitable quality education at all levels</w:t>
      </w:r>
      <w:r>
        <w:rPr>
          <w:rFonts w:ascii="Cambria" w:eastAsia="Calibri" w:hAnsi="Cambria" w:cs="Times New Roman"/>
        </w:rPr>
        <w:t xml:space="preserve">. Education is also included under several other SDGs, specifically those on health; growth and employment; sustainable consumption and production; and climate change. Education is therefore seen as a necessary precondition and key element in the achievement of </w:t>
      </w:r>
      <w:r w:rsidR="00FC5FA1">
        <w:rPr>
          <w:rFonts w:ascii="Cambria" w:eastAsia="Calibri" w:hAnsi="Cambria" w:cs="Times New Roman"/>
        </w:rPr>
        <w:t xml:space="preserve">the </w:t>
      </w:r>
      <w:r>
        <w:rPr>
          <w:rFonts w:ascii="Cambria" w:eastAsia="Calibri" w:hAnsi="Cambria" w:cs="Times New Roman"/>
        </w:rPr>
        <w:t xml:space="preserve">abovementioned goals. The overarching aim of SDG 4 is to provide comprehensive, holistic, and universal education that </w:t>
      </w:r>
      <w:r>
        <w:rPr>
          <w:rFonts w:ascii="Cambria" w:eastAsia="Calibri" w:hAnsi="Cambria" w:cs="Times New Roman"/>
          <w:b/>
        </w:rPr>
        <w:t>transforms the lives of individuals, communities and societies</w:t>
      </w:r>
      <w:r>
        <w:rPr>
          <w:rFonts w:ascii="Cambria" w:eastAsia="Calibri" w:hAnsi="Cambria" w:cs="Times New Roman"/>
        </w:rPr>
        <w:t>, leaving no one behind.</w:t>
      </w:r>
    </w:p>
    <w:p w:rsidR="00CF36D8" w:rsidRDefault="00CF36D8" w:rsidP="00CF36D8">
      <w:pPr>
        <w:rPr>
          <w:rFonts w:ascii="Cambria" w:eastAsia="Calibri" w:hAnsi="Cambria" w:cs="Times New Roman"/>
          <w:b/>
        </w:rPr>
      </w:pPr>
    </w:p>
    <w:p w:rsidR="00CF36D8" w:rsidRDefault="00CF36D8" w:rsidP="00CF36D8">
      <w:pPr>
        <w:rPr>
          <w:rFonts w:ascii="Cambria" w:eastAsia="Calibri" w:hAnsi="Cambria" w:cs="Times New Roman"/>
          <w:b/>
        </w:rPr>
      </w:pPr>
      <w:r>
        <w:rPr>
          <w:rFonts w:ascii="Cambria" w:eastAsia="Calibri" w:hAnsi="Cambria" w:cs="Times New Roman"/>
          <w:b/>
        </w:rPr>
        <w:t xml:space="preserve">The Network and SDGs </w:t>
      </w:r>
    </w:p>
    <w:p w:rsidR="00CF36D8" w:rsidRDefault="00CF36D8" w:rsidP="00CF36D8">
      <w:pPr>
        <w:spacing w:after="160" w:line="256" w:lineRule="auto"/>
        <w:rPr>
          <w:rFonts w:ascii="Cambria" w:eastAsia="Calibri" w:hAnsi="Cambria" w:cs="Times New Roman"/>
        </w:rPr>
      </w:pPr>
      <w:r>
        <w:rPr>
          <w:rFonts w:ascii="Cambria" w:eastAsia="Calibri" w:hAnsi="Cambria" w:cs="Times New Roman"/>
        </w:rPr>
        <w:t xml:space="preserve">The task of achieving the Education 2030 goals embodies elements central to the research and work of the BGL-ALC Network. The 2030 Agenda stresses the vital and beneficial </w:t>
      </w:r>
      <w:r>
        <w:rPr>
          <w:rFonts w:ascii="Cambria" w:eastAsia="Calibri" w:hAnsi="Cambria" w:cs="Times New Roman"/>
          <w:b/>
        </w:rPr>
        <w:t>role of learning</w:t>
      </w:r>
      <w:r>
        <w:rPr>
          <w:rFonts w:ascii="Cambria" w:eastAsia="Calibri" w:hAnsi="Cambria" w:cs="Times New Roman"/>
        </w:rPr>
        <w:t xml:space="preserve"> and education </w:t>
      </w:r>
      <w:r>
        <w:rPr>
          <w:rFonts w:ascii="Cambria" w:eastAsia="Calibri" w:hAnsi="Cambria" w:cs="Times New Roman"/>
          <w:b/>
        </w:rPr>
        <w:t>in communities</w:t>
      </w:r>
      <w:r>
        <w:rPr>
          <w:rFonts w:ascii="Cambria" w:eastAsia="Calibri" w:hAnsi="Cambria" w:cs="Times New Roman"/>
        </w:rPr>
        <w:t xml:space="preserve"> and societies, recognising that learning is imperative for achieving sustainable development, equity, and inclusion. </w:t>
      </w:r>
    </w:p>
    <w:p w:rsidR="00CF36D8" w:rsidRDefault="00CF36D8" w:rsidP="00CF36D8">
      <w:pPr>
        <w:spacing w:after="160" w:line="256" w:lineRule="auto"/>
        <w:rPr>
          <w:rFonts w:ascii="Calibri" w:eastAsia="Calibri" w:hAnsi="Calibri" w:cs="Times New Roman"/>
          <w:sz w:val="22"/>
          <w:lang w:val="hr-HR"/>
        </w:rPr>
      </w:pPr>
      <w:r>
        <w:rPr>
          <w:rFonts w:ascii="Cambria" w:eastAsia="Calibri" w:hAnsi="Cambria" w:cs="Times New Roman"/>
        </w:rPr>
        <w:t xml:space="preserve">The 2030 Agenda is faced with a considerable challenge in </w:t>
      </w:r>
      <w:r>
        <w:rPr>
          <w:rFonts w:ascii="Cambria" w:eastAsia="Calibri" w:hAnsi="Cambria" w:cs="Times New Roman"/>
          <w:b/>
        </w:rPr>
        <w:t xml:space="preserve">bridging the gap between the global and the local </w:t>
      </w:r>
      <w:r>
        <w:rPr>
          <w:rFonts w:ascii="Cambria" w:eastAsia="Calibri" w:hAnsi="Cambria" w:cs="Times New Roman"/>
        </w:rPr>
        <w:t xml:space="preserve">to ensure attainment of specified goals </w:t>
      </w:r>
      <w:r>
        <w:rPr>
          <w:rFonts w:ascii="Cambria" w:eastAsia="Calibri" w:hAnsi="Cambria" w:cs="Times New Roman"/>
          <w:lang w:val="hr-HR"/>
        </w:rPr>
        <w:t>for accelerated progress</w:t>
      </w:r>
      <w:r>
        <w:rPr>
          <w:rFonts w:ascii="Cambria" w:eastAsia="Calibri" w:hAnsi="Cambria" w:cs="Times New Roman"/>
          <w:szCs w:val="24"/>
          <w:lang w:val="hr-HR"/>
        </w:rPr>
        <w:t xml:space="preserve">. </w:t>
      </w:r>
      <w:r>
        <w:rPr>
          <w:rFonts w:ascii="Cambria" w:eastAsia="Calibri" w:hAnsi="Cambria" w:cs="Times New Roman"/>
        </w:rPr>
        <w:t xml:space="preserve">By </w:t>
      </w:r>
      <w:r>
        <w:rPr>
          <w:rFonts w:ascii="Cambria" w:eastAsia="Calibri" w:hAnsi="Cambria" w:cs="Times New Roman"/>
          <w:szCs w:val="24"/>
        </w:rPr>
        <w:t xml:space="preserve">signing the document, </w:t>
      </w:r>
      <w:r>
        <w:rPr>
          <w:rFonts w:ascii="Cambria" w:eastAsia="Calibri" w:hAnsi="Cambria" w:cs="Times New Roman"/>
          <w:szCs w:val="24"/>
          <w:lang w:val="hr-HR"/>
        </w:rPr>
        <w:t xml:space="preserve">governments have committed themselves to </w:t>
      </w:r>
      <w:r>
        <w:rPr>
          <w:rFonts w:ascii="Cambria" w:eastAsia="Calibri" w:hAnsi="Cambria" w:cs="Times New Roman"/>
          <w:lang w:val="hr-HR"/>
        </w:rPr>
        <w:t xml:space="preserve">translate global targets into achievable national targets based on their education priorities, national development strategies and plans, the ways their education systems are organised, their </w:t>
      </w:r>
      <w:r>
        <w:rPr>
          <w:rFonts w:ascii="Cambria" w:eastAsia="Calibri" w:hAnsi="Cambria" w:cs="Times New Roman"/>
          <w:lang w:val="hr-HR"/>
        </w:rPr>
        <w:lastRenderedPageBreak/>
        <w:t>institutional capacity and the availability of resources</w:t>
      </w:r>
      <w:r>
        <w:rPr>
          <w:rFonts w:ascii="Cambria" w:eastAsia="Calibri" w:hAnsi="Cambria" w:cs="Times New Roman"/>
          <w:szCs w:val="24"/>
          <w:lang w:val="hr-HR"/>
        </w:rPr>
        <w:t xml:space="preserve">. </w:t>
      </w:r>
      <w:r>
        <w:rPr>
          <w:rFonts w:ascii="Cambria" w:eastAsia="Calibri" w:hAnsi="Cambria" w:cs="Times New Roman"/>
          <w:szCs w:val="24"/>
        </w:rPr>
        <w:t xml:space="preserve">National governments, </w:t>
      </w:r>
      <w:r>
        <w:rPr>
          <w:rFonts w:ascii="Cambria" w:eastAsia="Calibri" w:hAnsi="Cambria" w:cs="Times New Roman"/>
          <w:szCs w:val="24"/>
          <w:lang w:val="hr-HR"/>
        </w:rPr>
        <w:t xml:space="preserve">municipalities, towns, cities and regions </w:t>
      </w:r>
      <w:r>
        <w:rPr>
          <w:rFonts w:ascii="Cambria" w:eastAsia="Calibri" w:hAnsi="Cambria" w:cs="Times New Roman"/>
          <w:szCs w:val="24"/>
        </w:rPr>
        <w:t>have a responsibility</w:t>
      </w:r>
      <w:r>
        <w:rPr>
          <w:rFonts w:ascii="Cambria" w:eastAsia="Calibri" w:hAnsi="Cambria" w:cs="Times New Roman"/>
          <w:szCs w:val="24"/>
          <w:lang w:val="hr-HR"/>
        </w:rPr>
        <w:t xml:space="preserve"> as policy and decision-makers to address global education and learning goals.</w:t>
      </w:r>
      <w:r>
        <w:rPr>
          <w:rFonts w:ascii="Calibri" w:eastAsia="Calibri" w:hAnsi="Calibri" w:cs="Times New Roman"/>
          <w:sz w:val="22"/>
          <w:lang w:val="hr-HR"/>
        </w:rPr>
        <w:t xml:space="preserve"> </w:t>
      </w:r>
    </w:p>
    <w:p w:rsidR="00CF36D8" w:rsidRDefault="00CF36D8" w:rsidP="00CF36D8">
      <w:pPr>
        <w:spacing w:after="160" w:line="256" w:lineRule="auto"/>
        <w:rPr>
          <w:rFonts w:ascii="Cambria" w:eastAsia="Calibri" w:hAnsi="Cambria" w:cs="Times New Roman"/>
          <w:szCs w:val="24"/>
        </w:rPr>
      </w:pPr>
      <w:r>
        <w:rPr>
          <w:rFonts w:ascii="Cambria" w:eastAsia="Calibri" w:hAnsi="Cambria" w:cs="Times New Roman"/>
          <w:szCs w:val="24"/>
          <w:lang w:val="hr-HR"/>
        </w:rPr>
        <w:t xml:space="preserve">If education and learning SDGs are to be achieved, active participation and collaboration between communities around the world, including </w:t>
      </w:r>
      <w:r>
        <w:rPr>
          <w:rFonts w:ascii="Cambria" w:eastAsia="Calibri" w:hAnsi="Cambria" w:cs="Times New Roman"/>
          <w:b/>
          <w:szCs w:val="24"/>
          <w:lang w:val="hr-HR"/>
        </w:rPr>
        <w:t>all relevant sectors and stakeholders</w:t>
      </w:r>
      <w:r>
        <w:rPr>
          <w:rFonts w:ascii="Cambria" w:eastAsia="Calibri" w:hAnsi="Cambria" w:cs="Times New Roman"/>
          <w:szCs w:val="24"/>
          <w:lang w:val="hr-HR"/>
        </w:rPr>
        <w:t>, will be required.</w:t>
      </w:r>
      <w:r>
        <w:rPr>
          <w:rFonts w:ascii="Cambria" w:eastAsia="Calibri" w:hAnsi="Cambria" w:cs="Times New Roman"/>
          <w:lang w:val="hr-HR"/>
        </w:rPr>
        <w:t xml:space="preserve"> While change will be ultimately driven by measures taken by national, regional and local governing institutions, this will need to be supported by eﬀective multi-stakeholder partnerships.</w:t>
      </w:r>
      <w:r>
        <w:rPr>
          <w:rFonts w:ascii="Cambria" w:eastAsia="Calibri" w:hAnsi="Cambria" w:cs="Times New Roman"/>
          <w:szCs w:val="24"/>
        </w:rPr>
        <w:t xml:space="preserve"> </w:t>
      </w:r>
      <w:r>
        <w:rPr>
          <w:rFonts w:ascii="Cambria" w:eastAsia="Calibri" w:hAnsi="Cambria" w:cs="Times New Roman"/>
          <w:lang w:val="hr-HR"/>
        </w:rPr>
        <w:t xml:space="preserve">Implementing the Agenda will require national, regional and global mechanisms for governance, accountability, coordination, monitoring, follow-up and review, reporting and evaluation. It will also require enabling strategies, including partnerships and fInancing. </w:t>
      </w:r>
    </w:p>
    <w:p w:rsidR="00CF36D8" w:rsidRDefault="00CF36D8" w:rsidP="00CF36D8">
      <w:pPr>
        <w:spacing w:after="160" w:line="256" w:lineRule="auto"/>
        <w:rPr>
          <w:rFonts w:ascii="Cambria" w:eastAsia="Calibri" w:hAnsi="Cambria" w:cs="Times New Roman"/>
          <w:szCs w:val="24"/>
          <w:lang w:val="hr-HR"/>
        </w:rPr>
      </w:pPr>
      <w:r>
        <w:rPr>
          <w:rFonts w:ascii="Cambria" w:eastAsia="Calibri" w:hAnsi="Cambria" w:cs="Times New Roman"/>
          <w:szCs w:val="24"/>
          <w:lang w:val="hr-HR"/>
        </w:rPr>
        <w:t xml:space="preserve">We need to create processes that generate engagement with the SDGs </w:t>
      </w:r>
      <w:r>
        <w:rPr>
          <w:rFonts w:ascii="Cambria" w:eastAsia="Calibri" w:hAnsi="Cambria" w:cs="Times New Roman"/>
          <w:b/>
          <w:szCs w:val="24"/>
          <w:lang w:val="hr-HR"/>
        </w:rPr>
        <w:t>at the community level</w:t>
      </w:r>
      <w:r>
        <w:rPr>
          <w:rFonts w:ascii="Cambria" w:eastAsia="Calibri" w:hAnsi="Cambria" w:cs="Times New Roman"/>
          <w:szCs w:val="24"/>
          <w:lang w:val="hr-HR"/>
        </w:rPr>
        <w:t>. The goals and targets set out in the 2030 Agenda can only be achieved if members of local communities take responsibility for implementing the SDGs in their own context.</w:t>
      </w:r>
    </w:p>
    <w:p w:rsidR="00CF36D8" w:rsidRDefault="00CF36D8" w:rsidP="00CF36D8">
      <w:pPr>
        <w:spacing w:after="160" w:line="256" w:lineRule="auto"/>
        <w:jc w:val="left"/>
        <w:rPr>
          <w:rFonts w:ascii="Cambria" w:eastAsia="Calibri" w:hAnsi="Cambria" w:cs="Times New Roman"/>
          <w:szCs w:val="24"/>
          <w:lang w:val="hr-HR"/>
        </w:rPr>
      </w:pPr>
      <w:r>
        <w:rPr>
          <w:rFonts w:ascii="Cambria" w:eastAsia="Calibri" w:hAnsi="Cambria" w:cs="Times New Roman"/>
          <w:szCs w:val="24"/>
          <w:lang w:val="hr-HR"/>
        </w:rPr>
        <w:t xml:space="preserve">How can we </w:t>
      </w:r>
      <w:r>
        <w:rPr>
          <w:rFonts w:ascii="Cambria" w:eastAsia="Calibri" w:hAnsi="Cambria" w:cs="Times New Roman"/>
          <w:b/>
          <w:szCs w:val="24"/>
          <w:lang w:val="hr-HR"/>
        </w:rPr>
        <w:t>engage communities</w:t>
      </w:r>
      <w:r>
        <w:rPr>
          <w:rFonts w:ascii="Cambria" w:eastAsia="Calibri" w:hAnsi="Cambria" w:cs="Times New Roman"/>
          <w:szCs w:val="24"/>
          <w:lang w:val="hr-HR"/>
        </w:rPr>
        <w:t xml:space="preserve"> everywhere to make global goals set by the UN their local goals? How can </w:t>
      </w:r>
      <w:r>
        <w:rPr>
          <w:rFonts w:ascii="Cambria" w:eastAsia="Calibri" w:hAnsi="Cambria" w:cs="Times New Roman"/>
          <w:b/>
          <w:szCs w:val="24"/>
          <w:lang w:val="hr-HR"/>
        </w:rPr>
        <w:t>individuals and collectives</w:t>
      </w:r>
      <w:r>
        <w:rPr>
          <w:rFonts w:ascii="Cambria" w:eastAsia="Calibri" w:hAnsi="Cambria" w:cs="Times New Roman"/>
          <w:szCs w:val="24"/>
          <w:lang w:val="hr-HR"/>
        </w:rPr>
        <w:t xml:space="preserve"> contribute to achieving the Agenda 2030 for adult learning?</w:t>
      </w:r>
    </w:p>
    <w:p w:rsidR="00CF36D8" w:rsidRDefault="00CF36D8" w:rsidP="00CF36D8">
      <w:pPr>
        <w:rPr>
          <w:rFonts w:ascii="Cambria" w:eastAsia="Calibri" w:hAnsi="Cambria" w:cs="Times New Roman"/>
        </w:rPr>
      </w:pPr>
    </w:p>
    <w:p w:rsidR="00CF36D8" w:rsidRDefault="00CF36D8" w:rsidP="00CF36D8">
      <w:pPr>
        <w:rPr>
          <w:rFonts w:ascii="Cambria" w:eastAsia="Calibri" w:hAnsi="Cambria" w:cs="Times New Roman"/>
        </w:rPr>
      </w:pPr>
      <w:r>
        <w:rPr>
          <w:rFonts w:ascii="Cambria" w:eastAsia="Calibri" w:hAnsi="Cambria" w:cs="Times New Roman"/>
        </w:rPr>
        <w:t xml:space="preserve">Possible </w:t>
      </w:r>
      <w:r>
        <w:rPr>
          <w:rFonts w:ascii="Cambria" w:eastAsia="Calibri" w:hAnsi="Cambria" w:cs="Times New Roman"/>
          <w:b/>
        </w:rPr>
        <w:t>key topics</w:t>
      </w:r>
      <w:r>
        <w:rPr>
          <w:rFonts w:ascii="Cambria" w:eastAsia="Calibri" w:hAnsi="Cambria" w:cs="Times New Roman"/>
        </w:rPr>
        <w:t xml:space="preserve"> for contributions (papers, roundtables, keynote talks) to this conference include: </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How can cooperation between stakeholders at national and transnational levels contribute to the development of accessibility, equality and sustainability in adult learning?</w:t>
      </w:r>
    </w:p>
    <w:p w:rsidR="00CF36D8" w:rsidRDefault="00CF36D8" w:rsidP="00CF36D8">
      <w:pPr>
        <w:spacing w:after="160" w:line="256" w:lineRule="auto"/>
        <w:contextualSpacing/>
        <w:jc w:val="left"/>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Researching accessibility, equality, and sustainability in the local life-world of adult learners</w:t>
      </w:r>
    </w:p>
    <w:p w:rsidR="00844F7B" w:rsidRDefault="00844F7B" w:rsidP="00844F7B">
      <w:pPr>
        <w:spacing w:after="160" w:line="256" w:lineRule="auto"/>
        <w:contextualSpacing/>
        <w:jc w:val="left"/>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Global and local challenges in adult learning. How are points of divergence addressed? The role of the researcher.</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Educators as mediators, implementers and creators of local and global education policies.</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The role of research in interpreting global adult learning needs at a national level</w:t>
      </w:r>
    </w:p>
    <w:p w:rsidR="00CF36D8" w:rsidRDefault="00CF36D8" w:rsidP="00CF36D8">
      <w:pPr>
        <w:pStyle w:val="Listaszerbekezds"/>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sidRPr="00CF36D8">
        <w:rPr>
          <w:rFonts w:ascii="Cambria" w:eastAsia="Calibri" w:hAnsi="Cambria" w:cs="Times New Roman"/>
        </w:rPr>
        <w:t>Researching adult learning in the micro-context: bridging the gap to SDGs?</w:t>
      </w:r>
    </w:p>
    <w:p w:rsidR="00CF36D8" w:rsidRPr="00CF36D8" w:rsidRDefault="00CF36D8" w:rsidP="00CF36D8">
      <w:pPr>
        <w:spacing w:after="160" w:line="256" w:lineRule="auto"/>
        <w:contextualSpacing/>
        <w:jc w:val="left"/>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National and local communities' readiness to implement global sustainable development goals for adult learning</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Traversing gaps between national policy context and global commitments</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Cross-sector collaboration for a knowledge-based society</w:t>
      </w:r>
    </w:p>
    <w:p w:rsidR="00CF36D8" w:rsidRDefault="00CF36D8" w:rsidP="00CF36D8">
      <w:pPr>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Holistic approaches to adult learning: Connecting agenda, praxis and research</w:t>
      </w:r>
    </w:p>
    <w:p w:rsidR="00CF36D8" w:rsidRDefault="00CF36D8" w:rsidP="00CF36D8">
      <w:pPr>
        <w:spacing w:after="160" w:line="256" w:lineRule="auto"/>
        <w:ind w:left="720"/>
        <w:contextualSpacing/>
        <w:jc w:val="left"/>
        <w:rPr>
          <w:rFonts w:ascii="Cambria" w:eastAsia="Calibri" w:hAnsi="Cambria" w:cs="Times New Roman"/>
        </w:rPr>
      </w:pPr>
    </w:p>
    <w:p w:rsidR="00CF36D8" w:rsidRDefault="00CF36D8" w:rsidP="00CF36D8">
      <w:pPr>
        <w:numPr>
          <w:ilvl w:val="0"/>
          <w:numId w:val="24"/>
        </w:numPr>
        <w:spacing w:after="160" w:line="256" w:lineRule="auto"/>
        <w:contextualSpacing/>
        <w:jc w:val="left"/>
        <w:rPr>
          <w:rFonts w:ascii="Cambria" w:eastAsia="Calibri" w:hAnsi="Cambria" w:cs="Times New Roman"/>
        </w:rPr>
      </w:pPr>
      <w:r>
        <w:rPr>
          <w:rFonts w:ascii="Cambria" w:eastAsia="Calibri" w:hAnsi="Cambria" w:cs="Times New Roman"/>
        </w:rPr>
        <w:t>Flexible adult learning: Who decides when and where to learn?</w:t>
      </w:r>
    </w:p>
    <w:p w:rsidR="00CF36D8" w:rsidRDefault="00CF36D8" w:rsidP="00DB398E">
      <w:pPr>
        <w:rPr>
          <w:rFonts w:asciiTheme="majorHAnsi" w:hAnsiTheme="majorHAnsi"/>
          <w:b/>
          <w:bCs/>
        </w:rPr>
      </w:pPr>
    </w:p>
    <w:p w:rsidR="00844F7B" w:rsidRDefault="00844F7B" w:rsidP="00DB398E">
      <w:pPr>
        <w:rPr>
          <w:rFonts w:asciiTheme="majorHAnsi" w:hAnsiTheme="majorHAnsi"/>
          <w:b/>
          <w:bCs/>
        </w:rPr>
      </w:pPr>
    </w:p>
    <w:p w:rsidR="00B1651A" w:rsidRPr="00B1651A" w:rsidRDefault="00B1651A" w:rsidP="00DB398E">
      <w:pPr>
        <w:rPr>
          <w:rFonts w:asciiTheme="majorHAnsi" w:hAnsiTheme="majorHAnsi"/>
        </w:rPr>
      </w:pPr>
      <w:r w:rsidRPr="00B1651A">
        <w:rPr>
          <w:rFonts w:asciiTheme="majorHAnsi" w:hAnsiTheme="majorHAnsi"/>
          <w:b/>
          <w:bCs/>
        </w:rPr>
        <w:t>ABSTRACTS AND PAPERS</w:t>
      </w:r>
    </w:p>
    <w:p w:rsidR="00844F7B" w:rsidRDefault="00844F7B" w:rsidP="00DB398E">
      <w:pPr>
        <w:rPr>
          <w:rFonts w:asciiTheme="majorHAnsi" w:hAnsiTheme="majorHAnsi"/>
        </w:rPr>
      </w:pPr>
    </w:p>
    <w:p w:rsidR="00B1651A" w:rsidRPr="00B1651A" w:rsidRDefault="00B1651A" w:rsidP="00DB398E">
      <w:pPr>
        <w:rPr>
          <w:rFonts w:asciiTheme="majorHAnsi" w:hAnsiTheme="majorHAnsi"/>
        </w:rPr>
      </w:pPr>
      <w:r w:rsidRPr="00B1651A">
        <w:rPr>
          <w:rFonts w:asciiTheme="majorHAnsi" w:hAnsiTheme="majorHAnsi"/>
        </w:rPr>
        <w:t xml:space="preserve">Participants </w:t>
      </w:r>
      <w:r w:rsidR="00C562C9" w:rsidRPr="00B1651A">
        <w:rPr>
          <w:rFonts w:asciiTheme="majorHAnsi" w:hAnsiTheme="majorHAnsi"/>
        </w:rPr>
        <w:t xml:space="preserve">from all fields of research on adult learning </w:t>
      </w:r>
      <w:r w:rsidRPr="00B1651A">
        <w:rPr>
          <w:rFonts w:asciiTheme="majorHAnsi" w:hAnsiTheme="majorHAnsi"/>
        </w:rPr>
        <w:t xml:space="preserve">are invited to submit an abstract addressing the conference theme. </w:t>
      </w:r>
      <w:r w:rsidRPr="00B1651A">
        <w:rPr>
          <w:rFonts w:asciiTheme="majorHAnsi" w:hAnsiTheme="majorHAnsi"/>
          <w:bCs/>
        </w:rPr>
        <w:t>Abstracts should be no more than 500 words</w:t>
      </w:r>
      <w:r w:rsidR="00C562C9">
        <w:rPr>
          <w:rFonts w:asciiTheme="majorHAnsi" w:hAnsiTheme="majorHAnsi"/>
          <w:bCs/>
        </w:rPr>
        <w:t xml:space="preserve"> long</w:t>
      </w:r>
      <w:r w:rsidRPr="00B1651A">
        <w:rPr>
          <w:rFonts w:asciiTheme="majorHAnsi" w:hAnsiTheme="majorHAnsi"/>
          <w:bCs/>
        </w:rPr>
        <w:t>.</w:t>
      </w:r>
    </w:p>
    <w:p w:rsidR="00B1651A" w:rsidRDefault="00B1651A" w:rsidP="00DB398E">
      <w:pPr>
        <w:rPr>
          <w:rFonts w:asciiTheme="majorHAnsi" w:hAnsiTheme="majorHAnsi"/>
          <w:b/>
          <w:bCs/>
        </w:rPr>
      </w:pPr>
    </w:p>
    <w:p w:rsidR="00B1651A" w:rsidRPr="00B1651A" w:rsidRDefault="00C562C9" w:rsidP="00DB398E">
      <w:pPr>
        <w:rPr>
          <w:rFonts w:asciiTheme="majorHAnsi" w:hAnsiTheme="majorHAnsi"/>
          <w:b/>
        </w:rPr>
      </w:pPr>
      <w:r>
        <w:rPr>
          <w:rFonts w:asciiTheme="majorHAnsi" w:hAnsiTheme="majorHAnsi"/>
          <w:b/>
          <w:bCs/>
        </w:rPr>
        <w:t>Abstract submission deadline:</w:t>
      </w:r>
      <w:r w:rsidR="00B1651A" w:rsidRPr="00B1651A">
        <w:rPr>
          <w:rFonts w:asciiTheme="majorHAnsi" w:hAnsiTheme="majorHAnsi"/>
          <w:b/>
          <w:bCs/>
        </w:rPr>
        <w:t xml:space="preserve"> </w:t>
      </w:r>
      <w:r w:rsidR="00C466B9" w:rsidRPr="00C466B9">
        <w:rPr>
          <w:rFonts w:asciiTheme="majorHAnsi" w:hAnsiTheme="majorHAnsi"/>
          <w:b/>
          <w:bCs/>
        </w:rPr>
        <w:t>31</w:t>
      </w:r>
      <w:r w:rsidR="001579A2" w:rsidRPr="00C466B9">
        <w:rPr>
          <w:rFonts w:asciiTheme="majorHAnsi" w:hAnsiTheme="majorHAnsi"/>
          <w:b/>
          <w:bCs/>
        </w:rPr>
        <w:t xml:space="preserve"> January 2018</w:t>
      </w:r>
      <w:r w:rsidR="00B1651A" w:rsidRPr="00C466B9">
        <w:rPr>
          <w:rFonts w:asciiTheme="majorHAnsi" w:hAnsiTheme="majorHAnsi"/>
          <w:b/>
          <w:bCs/>
        </w:rPr>
        <w:t>.</w:t>
      </w:r>
    </w:p>
    <w:p w:rsidR="00B1651A" w:rsidRPr="00B1651A" w:rsidRDefault="00B1651A" w:rsidP="00DB398E">
      <w:pPr>
        <w:rPr>
          <w:rFonts w:asciiTheme="majorHAnsi" w:hAnsiTheme="majorHAnsi"/>
        </w:rPr>
      </w:pPr>
      <w:r w:rsidRPr="00B1651A">
        <w:rPr>
          <w:rFonts w:asciiTheme="majorHAnsi" w:hAnsiTheme="majorHAnsi"/>
        </w:rPr>
        <w:t xml:space="preserve">The Scientific Committee of this conference is responsible for the selection of submitted abstracts. </w:t>
      </w:r>
    </w:p>
    <w:p w:rsidR="00B1651A" w:rsidRPr="00B1651A" w:rsidRDefault="00C562C9" w:rsidP="00DB398E">
      <w:pPr>
        <w:rPr>
          <w:rFonts w:asciiTheme="majorHAnsi" w:hAnsiTheme="majorHAnsi"/>
          <w:b/>
          <w:bCs/>
        </w:rPr>
      </w:pPr>
      <w:r>
        <w:rPr>
          <w:rFonts w:asciiTheme="majorHAnsi" w:hAnsiTheme="majorHAnsi"/>
          <w:b/>
          <w:bCs/>
        </w:rPr>
        <w:t>N</w:t>
      </w:r>
      <w:r w:rsidR="00B1651A" w:rsidRPr="00B1651A">
        <w:rPr>
          <w:rFonts w:asciiTheme="majorHAnsi" w:hAnsiTheme="majorHAnsi"/>
          <w:b/>
          <w:bCs/>
        </w:rPr>
        <w:t>otification of acceptance</w:t>
      </w:r>
      <w:r>
        <w:rPr>
          <w:rFonts w:asciiTheme="majorHAnsi" w:hAnsiTheme="majorHAnsi"/>
          <w:b/>
          <w:bCs/>
        </w:rPr>
        <w:t xml:space="preserve">: </w:t>
      </w:r>
      <w:r w:rsidRPr="00C466B9">
        <w:rPr>
          <w:rFonts w:asciiTheme="majorHAnsi" w:hAnsiTheme="majorHAnsi"/>
          <w:b/>
          <w:bCs/>
        </w:rPr>
        <w:t xml:space="preserve">28 February </w:t>
      </w:r>
      <w:r w:rsidR="001579A2" w:rsidRPr="00C466B9">
        <w:rPr>
          <w:rFonts w:asciiTheme="majorHAnsi" w:hAnsiTheme="majorHAnsi"/>
          <w:b/>
          <w:bCs/>
        </w:rPr>
        <w:t>2018</w:t>
      </w:r>
      <w:r w:rsidR="00B1651A" w:rsidRPr="00C466B9">
        <w:rPr>
          <w:rFonts w:asciiTheme="majorHAnsi" w:hAnsiTheme="majorHAnsi"/>
          <w:b/>
        </w:rPr>
        <w:t>.</w:t>
      </w:r>
      <w:r w:rsidR="00B1651A" w:rsidRPr="00B1651A">
        <w:rPr>
          <w:rFonts w:asciiTheme="majorHAnsi" w:hAnsiTheme="majorHAnsi"/>
          <w:b/>
        </w:rPr>
        <w:t> </w:t>
      </w:r>
    </w:p>
    <w:p w:rsidR="00B1651A" w:rsidRPr="00B1651A" w:rsidRDefault="00B1651A" w:rsidP="00DB398E">
      <w:pPr>
        <w:rPr>
          <w:rFonts w:asciiTheme="majorHAnsi" w:hAnsiTheme="majorHAnsi"/>
          <w:bCs/>
        </w:rPr>
      </w:pPr>
      <w:r w:rsidRPr="00B1651A">
        <w:rPr>
          <w:rFonts w:asciiTheme="majorHAnsi" w:hAnsiTheme="majorHAnsi"/>
          <w:bCs/>
        </w:rPr>
        <w:t>Abstracts should be sent in two separate files, one including the paper title, the name, address, e-mail of author(s); and the second one including the paper title and abstract.</w:t>
      </w:r>
    </w:p>
    <w:p w:rsidR="00B1651A" w:rsidRPr="00B1651A" w:rsidRDefault="00B1651A" w:rsidP="00DB398E">
      <w:pPr>
        <w:rPr>
          <w:rFonts w:asciiTheme="majorHAnsi" w:hAnsiTheme="majorHAnsi"/>
        </w:rPr>
      </w:pPr>
      <w:r w:rsidRPr="00C466B9">
        <w:rPr>
          <w:rFonts w:asciiTheme="majorHAnsi" w:hAnsiTheme="majorHAnsi"/>
          <w:bCs/>
        </w:rPr>
        <w:t xml:space="preserve">Abstracts </w:t>
      </w:r>
      <w:r w:rsidRPr="00C466B9">
        <w:rPr>
          <w:rFonts w:asciiTheme="majorHAnsi" w:hAnsiTheme="majorHAnsi"/>
        </w:rPr>
        <w:t>should be submitted to:</w:t>
      </w:r>
      <w:r w:rsidRPr="00B1651A">
        <w:rPr>
          <w:rFonts w:asciiTheme="majorHAnsi" w:hAnsiTheme="majorHAnsi"/>
        </w:rPr>
        <w:t xml:space="preserve"> </w:t>
      </w:r>
      <w:hyperlink r:id="rId7" w:history="1">
        <w:r w:rsidR="00C466B9" w:rsidRPr="005B4218">
          <w:rPr>
            <w:rStyle w:val="Hiperhivatkozs"/>
            <w:rFonts w:asciiTheme="majorHAnsi" w:hAnsiTheme="majorHAnsi"/>
          </w:rPr>
          <w:t>esrea.dante@gmail.com</w:t>
        </w:r>
      </w:hyperlink>
      <w:r w:rsidR="00C466B9">
        <w:rPr>
          <w:rFonts w:asciiTheme="majorHAnsi" w:hAnsiTheme="majorHAnsi"/>
        </w:rPr>
        <w:t>.</w:t>
      </w:r>
    </w:p>
    <w:p w:rsidR="00B1651A" w:rsidRDefault="00B1651A" w:rsidP="00DB398E">
      <w:pPr>
        <w:rPr>
          <w:rFonts w:asciiTheme="majorHAnsi" w:hAnsiTheme="majorHAnsi"/>
          <w:b/>
          <w:bCs/>
        </w:rPr>
      </w:pPr>
    </w:p>
    <w:p w:rsidR="00B1651A" w:rsidRPr="00B1651A" w:rsidRDefault="00B1651A" w:rsidP="00DB398E">
      <w:pPr>
        <w:rPr>
          <w:rFonts w:asciiTheme="majorHAnsi" w:hAnsiTheme="majorHAnsi"/>
        </w:rPr>
      </w:pPr>
      <w:r w:rsidRPr="00B1651A">
        <w:rPr>
          <w:rFonts w:asciiTheme="majorHAnsi" w:hAnsiTheme="majorHAnsi"/>
          <w:b/>
          <w:bCs/>
        </w:rPr>
        <w:t>Papers</w:t>
      </w:r>
    </w:p>
    <w:p w:rsidR="00C466B9" w:rsidRPr="00B1651A" w:rsidRDefault="00B1651A" w:rsidP="00C466B9">
      <w:pPr>
        <w:rPr>
          <w:rFonts w:asciiTheme="majorHAnsi" w:hAnsiTheme="majorHAnsi"/>
        </w:rPr>
      </w:pPr>
      <w:r w:rsidRPr="00B1651A">
        <w:rPr>
          <w:rFonts w:asciiTheme="majorHAnsi" w:hAnsiTheme="majorHAnsi"/>
        </w:rPr>
        <w:t xml:space="preserve">Completed papers should be submitted by </w:t>
      </w:r>
      <w:r w:rsidR="001579A2" w:rsidRPr="00C466B9">
        <w:rPr>
          <w:rFonts w:asciiTheme="majorHAnsi" w:hAnsiTheme="majorHAnsi"/>
        </w:rPr>
        <w:t>15 May 2018</w:t>
      </w:r>
      <w:r w:rsidRPr="00C466B9">
        <w:rPr>
          <w:rFonts w:asciiTheme="majorHAnsi" w:hAnsiTheme="majorHAnsi"/>
        </w:rPr>
        <w:t xml:space="preserve"> to:</w:t>
      </w:r>
      <w:r w:rsidR="00C466B9">
        <w:rPr>
          <w:rFonts w:asciiTheme="majorHAnsi" w:hAnsiTheme="majorHAnsi"/>
        </w:rPr>
        <w:t xml:space="preserve"> </w:t>
      </w:r>
      <w:hyperlink r:id="rId8" w:history="1">
        <w:r w:rsidR="00C466B9" w:rsidRPr="005B4218">
          <w:rPr>
            <w:rStyle w:val="Hiperhivatkozs"/>
            <w:rFonts w:asciiTheme="majorHAnsi" w:hAnsiTheme="majorHAnsi"/>
          </w:rPr>
          <w:t>esrea.dante@gmail.com</w:t>
        </w:r>
      </w:hyperlink>
      <w:r w:rsidR="00C466B9">
        <w:rPr>
          <w:rFonts w:asciiTheme="majorHAnsi" w:hAnsiTheme="majorHAnsi"/>
        </w:rPr>
        <w:t>.</w:t>
      </w:r>
    </w:p>
    <w:p w:rsidR="00B1651A" w:rsidRPr="00B1651A" w:rsidRDefault="00B1651A" w:rsidP="00DB398E">
      <w:pPr>
        <w:rPr>
          <w:rFonts w:asciiTheme="majorHAnsi" w:hAnsiTheme="majorHAnsi"/>
        </w:rPr>
      </w:pPr>
    </w:p>
    <w:p w:rsidR="00B1651A" w:rsidRPr="00B1651A" w:rsidRDefault="00B1651A" w:rsidP="00DB398E">
      <w:pPr>
        <w:rPr>
          <w:rFonts w:asciiTheme="majorHAnsi" w:hAnsiTheme="majorHAnsi"/>
        </w:rPr>
      </w:pPr>
      <w:r w:rsidRPr="00B1651A">
        <w:rPr>
          <w:rFonts w:asciiTheme="majorHAnsi" w:hAnsiTheme="majorHAnsi"/>
        </w:rPr>
        <w:t xml:space="preserve">The papers </w:t>
      </w:r>
      <w:r w:rsidR="00011DCD">
        <w:rPr>
          <w:rFonts w:asciiTheme="majorHAnsi" w:hAnsiTheme="majorHAnsi"/>
        </w:rPr>
        <w:t>should be no more than</w:t>
      </w:r>
      <w:r w:rsidRPr="00B1651A">
        <w:rPr>
          <w:rFonts w:asciiTheme="majorHAnsi" w:hAnsiTheme="majorHAnsi"/>
        </w:rPr>
        <w:t xml:space="preserve"> 5000 words</w:t>
      </w:r>
      <w:r w:rsidR="00011DCD">
        <w:rPr>
          <w:rFonts w:asciiTheme="majorHAnsi" w:hAnsiTheme="majorHAnsi"/>
        </w:rPr>
        <w:t xml:space="preserve"> long and t</w:t>
      </w:r>
      <w:r w:rsidRPr="00B1651A">
        <w:rPr>
          <w:rFonts w:asciiTheme="majorHAnsi" w:hAnsiTheme="majorHAnsi"/>
        </w:rPr>
        <w:t>he</w:t>
      </w:r>
      <w:r w:rsidR="00011DCD">
        <w:rPr>
          <w:rFonts w:asciiTheme="majorHAnsi" w:hAnsiTheme="majorHAnsi"/>
        </w:rPr>
        <w:t>y</w:t>
      </w:r>
      <w:r w:rsidRPr="00B1651A">
        <w:rPr>
          <w:rFonts w:asciiTheme="majorHAnsi" w:hAnsiTheme="majorHAnsi"/>
        </w:rPr>
        <w:t xml:space="preserve"> </w:t>
      </w:r>
      <w:r w:rsidR="00011DCD">
        <w:rPr>
          <w:rFonts w:asciiTheme="majorHAnsi" w:hAnsiTheme="majorHAnsi"/>
        </w:rPr>
        <w:t xml:space="preserve">should be prepared in accordance with </w:t>
      </w:r>
      <w:r w:rsidR="00011DCD" w:rsidRPr="00D535F2">
        <w:rPr>
          <w:rFonts w:asciiTheme="majorHAnsi" w:hAnsiTheme="majorHAnsi"/>
        </w:rPr>
        <w:t xml:space="preserve">BGL-ALC </w:t>
      </w:r>
      <w:r w:rsidR="00011DCD">
        <w:rPr>
          <w:rFonts w:asciiTheme="majorHAnsi" w:hAnsiTheme="majorHAnsi"/>
        </w:rPr>
        <w:t>guidelines</w:t>
      </w:r>
      <w:r w:rsidR="008966AD">
        <w:rPr>
          <w:rFonts w:asciiTheme="majorHAnsi" w:hAnsiTheme="majorHAnsi"/>
        </w:rPr>
        <w:t xml:space="preserve">, </w:t>
      </w:r>
      <w:r w:rsidRPr="00B1651A">
        <w:rPr>
          <w:rFonts w:asciiTheme="majorHAnsi" w:hAnsiTheme="majorHAnsi"/>
        </w:rPr>
        <w:t xml:space="preserve">which will be </w:t>
      </w:r>
      <w:r w:rsidRPr="008966AD">
        <w:rPr>
          <w:rFonts w:asciiTheme="majorHAnsi" w:hAnsiTheme="majorHAnsi"/>
        </w:rPr>
        <w:t xml:space="preserve">made </w:t>
      </w:r>
      <w:r w:rsidR="00011DCD" w:rsidRPr="008966AD">
        <w:rPr>
          <w:rFonts w:asciiTheme="majorHAnsi" w:hAnsiTheme="majorHAnsi"/>
        </w:rPr>
        <w:t>available</w:t>
      </w:r>
      <w:r w:rsidRPr="00B1651A">
        <w:rPr>
          <w:rFonts w:asciiTheme="majorHAnsi" w:hAnsiTheme="majorHAnsi"/>
        </w:rPr>
        <w:t xml:space="preserve"> soon.</w:t>
      </w:r>
    </w:p>
    <w:p w:rsidR="00B1651A" w:rsidRDefault="00B1651A" w:rsidP="00DB398E">
      <w:pPr>
        <w:rPr>
          <w:rFonts w:asciiTheme="majorHAnsi" w:hAnsiTheme="majorHAnsi"/>
          <w:b/>
          <w:bCs/>
        </w:rPr>
      </w:pPr>
    </w:p>
    <w:p w:rsidR="00B1651A" w:rsidRPr="00B1651A" w:rsidRDefault="00B1651A" w:rsidP="00DB398E">
      <w:pPr>
        <w:rPr>
          <w:rFonts w:asciiTheme="majorHAnsi" w:hAnsiTheme="majorHAnsi"/>
        </w:rPr>
      </w:pPr>
      <w:r w:rsidRPr="00B1651A">
        <w:rPr>
          <w:rFonts w:asciiTheme="majorHAnsi" w:hAnsiTheme="majorHAnsi"/>
          <w:b/>
          <w:bCs/>
        </w:rPr>
        <w:t xml:space="preserve">Information </w:t>
      </w:r>
      <w:r w:rsidR="00ED180F">
        <w:rPr>
          <w:rFonts w:asciiTheme="majorHAnsi" w:hAnsiTheme="majorHAnsi"/>
          <w:b/>
          <w:bCs/>
        </w:rPr>
        <w:t>for Contributors o</w:t>
      </w:r>
      <w:r w:rsidR="00ED180F" w:rsidRPr="00B1651A">
        <w:rPr>
          <w:rFonts w:asciiTheme="majorHAnsi" w:hAnsiTheme="majorHAnsi"/>
          <w:b/>
          <w:bCs/>
        </w:rPr>
        <w:t xml:space="preserve">f </w:t>
      </w:r>
      <w:r w:rsidRPr="00B1651A">
        <w:rPr>
          <w:rFonts w:asciiTheme="majorHAnsi" w:hAnsiTheme="majorHAnsi"/>
          <w:b/>
          <w:bCs/>
        </w:rPr>
        <w:t>Abstracts</w:t>
      </w:r>
      <w:r w:rsidR="00ED180F" w:rsidRPr="00B1651A">
        <w:rPr>
          <w:rFonts w:asciiTheme="majorHAnsi" w:hAnsiTheme="majorHAnsi"/>
          <w:b/>
          <w:bCs/>
        </w:rPr>
        <w:t>/</w:t>
      </w:r>
      <w:r w:rsidRPr="00B1651A">
        <w:rPr>
          <w:rFonts w:asciiTheme="majorHAnsi" w:hAnsiTheme="majorHAnsi"/>
          <w:b/>
          <w:bCs/>
        </w:rPr>
        <w:t>Papers</w:t>
      </w:r>
    </w:p>
    <w:p w:rsidR="00B1651A" w:rsidRPr="00B1651A" w:rsidRDefault="00B1651A" w:rsidP="00DB398E">
      <w:pPr>
        <w:rPr>
          <w:rFonts w:asciiTheme="majorHAnsi" w:hAnsiTheme="majorHAnsi"/>
        </w:rPr>
      </w:pPr>
      <w:r w:rsidRPr="00B1651A">
        <w:rPr>
          <w:rFonts w:asciiTheme="majorHAnsi" w:hAnsiTheme="majorHAnsi"/>
        </w:rPr>
        <w:t xml:space="preserve">A paper is proposed and submitted in the form of an abstract by one person. Up to three other people can be named as co-authors in the abstract proposal. </w:t>
      </w:r>
      <w:r w:rsidR="00A84A8A">
        <w:rPr>
          <w:rFonts w:asciiTheme="majorHAnsi" w:hAnsiTheme="majorHAnsi"/>
        </w:rPr>
        <w:t>E</w:t>
      </w:r>
      <w:r w:rsidRPr="00B1651A">
        <w:rPr>
          <w:rFonts w:asciiTheme="majorHAnsi" w:hAnsiTheme="majorHAnsi"/>
        </w:rPr>
        <w:t>a</w:t>
      </w:r>
      <w:r w:rsidR="00A84A8A">
        <w:rPr>
          <w:rFonts w:asciiTheme="majorHAnsi" w:hAnsiTheme="majorHAnsi"/>
        </w:rPr>
        <w:t>ch participant can submit a</w:t>
      </w:r>
      <w:r w:rsidRPr="00B1651A">
        <w:rPr>
          <w:rFonts w:asciiTheme="majorHAnsi" w:hAnsiTheme="majorHAnsi"/>
        </w:rPr>
        <w:t xml:space="preserve"> maximum of two proposals in which </w:t>
      </w:r>
      <w:r w:rsidR="00A84A8A">
        <w:rPr>
          <w:rFonts w:asciiTheme="majorHAnsi" w:hAnsiTheme="majorHAnsi"/>
        </w:rPr>
        <w:t>they</w:t>
      </w:r>
      <w:r w:rsidRPr="00B1651A">
        <w:rPr>
          <w:rFonts w:asciiTheme="majorHAnsi" w:hAnsiTheme="majorHAnsi"/>
        </w:rPr>
        <w:t xml:space="preserve"> </w:t>
      </w:r>
      <w:r w:rsidR="00A84A8A">
        <w:rPr>
          <w:rFonts w:asciiTheme="majorHAnsi" w:hAnsiTheme="majorHAnsi"/>
        </w:rPr>
        <w:t>are</w:t>
      </w:r>
      <w:r w:rsidRPr="00B1651A">
        <w:rPr>
          <w:rFonts w:asciiTheme="majorHAnsi" w:hAnsiTheme="majorHAnsi"/>
        </w:rPr>
        <w:t xml:space="preserve"> </w:t>
      </w:r>
      <w:r w:rsidR="00A84A8A">
        <w:rPr>
          <w:rFonts w:asciiTheme="majorHAnsi" w:hAnsiTheme="majorHAnsi"/>
        </w:rPr>
        <w:t>either</w:t>
      </w:r>
      <w:r w:rsidRPr="00B1651A">
        <w:rPr>
          <w:rFonts w:asciiTheme="majorHAnsi" w:hAnsiTheme="majorHAnsi"/>
        </w:rPr>
        <w:t xml:space="preserve"> </w:t>
      </w:r>
      <w:r w:rsidR="00A84A8A">
        <w:rPr>
          <w:rFonts w:asciiTheme="majorHAnsi" w:hAnsiTheme="majorHAnsi"/>
        </w:rPr>
        <w:t>the</w:t>
      </w:r>
      <w:r w:rsidRPr="00B1651A">
        <w:rPr>
          <w:rFonts w:asciiTheme="majorHAnsi" w:hAnsiTheme="majorHAnsi"/>
        </w:rPr>
        <w:t xml:space="preserve"> author or co-author. The abstract proposal must indicate which of the named authors will be presenting the paper.</w:t>
      </w:r>
      <w:r w:rsidR="00ED180F">
        <w:rPr>
          <w:rFonts w:asciiTheme="majorHAnsi" w:hAnsiTheme="majorHAnsi"/>
        </w:rPr>
        <w:t xml:space="preserve"> </w:t>
      </w:r>
      <w:r w:rsidRPr="00B1651A">
        <w:rPr>
          <w:rFonts w:asciiTheme="majorHAnsi" w:hAnsiTheme="majorHAnsi"/>
        </w:rPr>
        <w:t xml:space="preserve">All those </w:t>
      </w:r>
      <w:r w:rsidR="00A84A8A">
        <w:rPr>
          <w:rFonts w:asciiTheme="majorHAnsi" w:hAnsiTheme="majorHAnsi"/>
        </w:rPr>
        <w:t>presenting</w:t>
      </w:r>
      <w:r w:rsidRPr="00B1651A">
        <w:rPr>
          <w:rFonts w:asciiTheme="majorHAnsi" w:hAnsiTheme="majorHAnsi"/>
        </w:rPr>
        <w:t xml:space="preserve"> must register for the conference. </w:t>
      </w:r>
    </w:p>
    <w:p w:rsidR="00B1651A" w:rsidRDefault="00B1651A" w:rsidP="00DB398E">
      <w:pPr>
        <w:rPr>
          <w:rFonts w:asciiTheme="majorHAnsi" w:hAnsiTheme="majorHAnsi"/>
          <w:b/>
          <w:bCs/>
        </w:rPr>
      </w:pPr>
    </w:p>
    <w:p w:rsidR="00B1651A" w:rsidRPr="00B1651A" w:rsidRDefault="00B1651A" w:rsidP="00DB398E">
      <w:pPr>
        <w:rPr>
          <w:rFonts w:asciiTheme="majorHAnsi" w:hAnsiTheme="majorHAnsi"/>
        </w:rPr>
      </w:pPr>
      <w:r w:rsidRPr="00B1651A">
        <w:rPr>
          <w:rFonts w:asciiTheme="majorHAnsi" w:hAnsiTheme="majorHAnsi"/>
          <w:b/>
          <w:bCs/>
        </w:rPr>
        <w:t>Criteria for Review of Abstracts</w:t>
      </w:r>
    </w:p>
    <w:p w:rsidR="00B1651A" w:rsidRPr="00B1651A" w:rsidRDefault="00B1651A" w:rsidP="00DB398E">
      <w:pPr>
        <w:rPr>
          <w:rFonts w:asciiTheme="majorHAnsi" w:hAnsiTheme="majorHAnsi"/>
        </w:rPr>
      </w:pPr>
      <w:r w:rsidRPr="00B1651A">
        <w:rPr>
          <w:rFonts w:asciiTheme="majorHAnsi" w:hAnsiTheme="majorHAnsi"/>
        </w:rPr>
        <w:t xml:space="preserve">Abstracts for papers are welcome from all fields of research </w:t>
      </w:r>
      <w:r w:rsidR="00A84A8A">
        <w:rPr>
          <w:rFonts w:asciiTheme="majorHAnsi" w:hAnsiTheme="majorHAnsi"/>
        </w:rPr>
        <w:t>addressing</w:t>
      </w:r>
      <w:r w:rsidRPr="00B1651A">
        <w:rPr>
          <w:rFonts w:asciiTheme="majorHAnsi" w:hAnsiTheme="majorHAnsi"/>
        </w:rPr>
        <w:t xml:space="preserve"> the conference theme. The criteria used in reviewing each abstract </w:t>
      </w:r>
      <w:r w:rsidR="00A84A8A">
        <w:rPr>
          <w:rFonts w:asciiTheme="majorHAnsi" w:hAnsiTheme="majorHAnsi"/>
        </w:rPr>
        <w:t>are</w:t>
      </w:r>
      <w:r w:rsidRPr="00B1651A">
        <w:rPr>
          <w:rFonts w:asciiTheme="majorHAnsi" w:hAnsiTheme="majorHAnsi"/>
        </w:rPr>
        <w:t xml:space="preserve"> as follows:</w:t>
      </w:r>
    </w:p>
    <w:p w:rsidR="00B1651A" w:rsidRPr="00B1651A" w:rsidRDefault="00B1651A" w:rsidP="00DB398E">
      <w:pPr>
        <w:numPr>
          <w:ilvl w:val="0"/>
          <w:numId w:val="19"/>
        </w:numPr>
        <w:rPr>
          <w:rFonts w:asciiTheme="majorHAnsi" w:hAnsiTheme="majorHAnsi"/>
        </w:rPr>
      </w:pPr>
      <w:r w:rsidRPr="00B1651A">
        <w:rPr>
          <w:rFonts w:asciiTheme="majorHAnsi" w:hAnsiTheme="majorHAnsi"/>
        </w:rPr>
        <w:t xml:space="preserve">Proposals should be directly related to </w:t>
      </w:r>
      <w:r w:rsidR="00A84A8A">
        <w:rPr>
          <w:rFonts w:asciiTheme="majorHAnsi" w:hAnsiTheme="majorHAnsi"/>
        </w:rPr>
        <w:t>the conference theme</w:t>
      </w:r>
    </w:p>
    <w:p w:rsidR="00B1651A" w:rsidRPr="00B1651A" w:rsidRDefault="00B1651A" w:rsidP="00DB398E">
      <w:pPr>
        <w:numPr>
          <w:ilvl w:val="0"/>
          <w:numId w:val="19"/>
        </w:numPr>
        <w:rPr>
          <w:rFonts w:asciiTheme="majorHAnsi" w:hAnsiTheme="majorHAnsi"/>
        </w:rPr>
      </w:pPr>
      <w:r w:rsidRPr="00B1651A">
        <w:rPr>
          <w:rFonts w:asciiTheme="majorHAnsi" w:hAnsiTheme="majorHAnsi"/>
        </w:rPr>
        <w:t>Proposals should make reference to a theoretical framework, involve systematic enquiry of analytical or empirical nature</w:t>
      </w:r>
    </w:p>
    <w:p w:rsidR="00B1651A" w:rsidRPr="00B1651A" w:rsidRDefault="00B1651A" w:rsidP="00DB398E">
      <w:pPr>
        <w:numPr>
          <w:ilvl w:val="0"/>
          <w:numId w:val="19"/>
        </w:numPr>
        <w:rPr>
          <w:rFonts w:asciiTheme="majorHAnsi" w:hAnsiTheme="majorHAnsi"/>
        </w:rPr>
      </w:pPr>
      <w:r w:rsidRPr="00B1651A">
        <w:rPr>
          <w:rFonts w:asciiTheme="majorHAnsi" w:hAnsiTheme="majorHAnsi"/>
        </w:rPr>
        <w:t>Background, method, results and implications should be set out clearly in a manner accessible to an international audience</w:t>
      </w:r>
    </w:p>
    <w:p w:rsidR="00B1651A" w:rsidRDefault="00B1651A" w:rsidP="00DB398E">
      <w:pPr>
        <w:rPr>
          <w:rFonts w:asciiTheme="majorHAnsi" w:hAnsiTheme="majorHAnsi"/>
          <w:b/>
        </w:rPr>
      </w:pPr>
    </w:p>
    <w:p w:rsidR="00B1651A" w:rsidRPr="00B1651A" w:rsidRDefault="00B1651A" w:rsidP="00DB398E">
      <w:pPr>
        <w:rPr>
          <w:rFonts w:asciiTheme="majorHAnsi" w:hAnsiTheme="majorHAnsi"/>
          <w:b/>
        </w:rPr>
      </w:pPr>
      <w:r w:rsidRPr="00B1651A">
        <w:rPr>
          <w:rFonts w:asciiTheme="majorHAnsi" w:hAnsiTheme="majorHAnsi"/>
          <w:b/>
        </w:rPr>
        <w:t>Language</w:t>
      </w:r>
    </w:p>
    <w:p w:rsidR="00B1651A" w:rsidRPr="00B1651A" w:rsidRDefault="00B1651A" w:rsidP="00DB398E">
      <w:pPr>
        <w:rPr>
          <w:rFonts w:asciiTheme="majorHAnsi" w:hAnsiTheme="majorHAnsi"/>
        </w:rPr>
      </w:pPr>
      <w:r w:rsidRPr="00B1651A">
        <w:rPr>
          <w:rFonts w:asciiTheme="majorHAnsi" w:hAnsiTheme="majorHAnsi"/>
        </w:rPr>
        <w:t xml:space="preserve">The abstract, the paper and its presentation should be in English. Simultaneous translation will not be available in plenary or paper presentation sessions, but participants will aid one another where necessary in order to overcome language difficulties. </w:t>
      </w:r>
    </w:p>
    <w:p w:rsidR="00B1651A" w:rsidRPr="00B1651A" w:rsidRDefault="00B1651A" w:rsidP="00DB398E">
      <w:pPr>
        <w:rPr>
          <w:rFonts w:asciiTheme="majorHAnsi" w:hAnsiTheme="majorHAnsi"/>
        </w:rPr>
      </w:pPr>
      <w:r w:rsidRPr="00B1651A">
        <w:rPr>
          <w:rFonts w:asciiTheme="majorHAnsi" w:hAnsiTheme="majorHAnsi"/>
        </w:rPr>
        <w:lastRenderedPageBreak/>
        <w:t>Please bear in mind when presenting a paper that you are speaking to an international audience, the majority of whom may not be familiar with your own country</w:t>
      </w:r>
      <w:r w:rsidR="00A05F38">
        <w:rPr>
          <w:rFonts w:asciiTheme="majorHAnsi" w:hAnsiTheme="majorHAnsi"/>
        </w:rPr>
        <w:t xml:space="preserve"> let alone its adult education</w:t>
      </w:r>
      <w:r w:rsidRPr="00B1651A">
        <w:rPr>
          <w:rFonts w:asciiTheme="majorHAnsi" w:hAnsiTheme="majorHAnsi"/>
        </w:rPr>
        <w:t xml:space="preserve"> system. Please avoid the use of acronyms and do not use</w:t>
      </w:r>
      <w:r w:rsidR="00A05F38">
        <w:rPr>
          <w:rFonts w:asciiTheme="majorHAnsi" w:hAnsiTheme="majorHAnsi"/>
        </w:rPr>
        <w:t xml:space="preserve"> context-dependant</w:t>
      </w:r>
      <w:r w:rsidRPr="00B1651A">
        <w:rPr>
          <w:rFonts w:asciiTheme="majorHAnsi" w:hAnsiTheme="majorHAnsi"/>
        </w:rPr>
        <w:t xml:space="preserve"> expressions relate</w:t>
      </w:r>
      <w:r w:rsidR="00A05F38">
        <w:rPr>
          <w:rFonts w:asciiTheme="majorHAnsi" w:hAnsiTheme="majorHAnsi"/>
        </w:rPr>
        <w:t>d</w:t>
      </w:r>
      <w:r w:rsidRPr="00B1651A">
        <w:rPr>
          <w:rFonts w:asciiTheme="majorHAnsi" w:hAnsiTheme="majorHAnsi"/>
        </w:rPr>
        <w:t xml:space="preserve"> to adult learning.</w:t>
      </w:r>
    </w:p>
    <w:p w:rsidR="00B1651A" w:rsidRPr="00B1651A" w:rsidRDefault="00B1651A" w:rsidP="00DB398E">
      <w:pPr>
        <w:rPr>
          <w:rFonts w:asciiTheme="majorHAnsi" w:hAnsiTheme="majorHAnsi"/>
          <w:b/>
        </w:rPr>
      </w:pPr>
    </w:p>
    <w:p w:rsidR="00B1651A" w:rsidRPr="00B1651A" w:rsidRDefault="00B1651A" w:rsidP="00DB398E">
      <w:pPr>
        <w:rPr>
          <w:rFonts w:asciiTheme="majorHAnsi" w:hAnsiTheme="majorHAnsi"/>
        </w:rPr>
      </w:pPr>
      <w:r w:rsidRPr="00B1651A">
        <w:rPr>
          <w:rFonts w:asciiTheme="majorHAnsi" w:hAnsiTheme="majorHAnsi"/>
          <w:b/>
        </w:rPr>
        <w:t>Deadlines</w:t>
      </w:r>
    </w:p>
    <w:p w:rsidR="00B1651A" w:rsidRPr="00C466B9" w:rsidRDefault="00CD3582" w:rsidP="00DB398E">
      <w:pPr>
        <w:rPr>
          <w:rFonts w:asciiTheme="majorHAnsi" w:hAnsiTheme="majorHAnsi"/>
        </w:rPr>
      </w:pPr>
      <w:r>
        <w:rPr>
          <w:rFonts w:asciiTheme="majorHAnsi" w:hAnsiTheme="majorHAnsi"/>
        </w:rPr>
        <w:t>Submission</w:t>
      </w:r>
      <w:r w:rsidR="00B1651A" w:rsidRPr="00B1651A">
        <w:rPr>
          <w:rFonts w:asciiTheme="majorHAnsi" w:hAnsiTheme="majorHAnsi"/>
        </w:rPr>
        <w:t xml:space="preserve"> of abstracts – </w:t>
      </w:r>
      <w:r w:rsidR="00C466B9">
        <w:rPr>
          <w:rFonts w:asciiTheme="majorHAnsi" w:hAnsiTheme="majorHAnsi"/>
        </w:rPr>
        <w:t>31</w:t>
      </w:r>
      <w:r w:rsidR="00A05F38" w:rsidRPr="00C466B9">
        <w:rPr>
          <w:rFonts w:asciiTheme="majorHAnsi" w:hAnsiTheme="majorHAnsi"/>
        </w:rPr>
        <w:t xml:space="preserve"> January</w:t>
      </w:r>
      <w:r w:rsidR="00886837" w:rsidRPr="00C466B9">
        <w:rPr>
          <w:rFonts w:asciiTheme="majorHAnsi" w:hAnsiTheme="majorHAnsi"/>
        </w:rPr>
        <w:t xml:space="preserve"> 2018</w:t>
      </w:r>
    </w:p>
    <w:p w:rsidR="00B1651A" w:rsidRPr="00C466B9" w:rsidRDefault="00CD3582" w:rsidP="00DB398E">
      <w:pPr>
        <w:rPr>
          <w:rFonts w:asciiTheme="majorHAnsi" w:hAnsiTheme="majorHAnsi"/>
        </w:rPr>
      </w:pPr>
      <w:r w:rsidRPr="00C466B9">
        <w:rPr>
          <w:rFonts w:asciiTheme="majorHAnsi" w:hAnsiTheme="majorHAnsi"/>
        </w:rPr>
        <w:t>A</w:t>
      </w:r>
      <w:r w:rsidR="00B1651A" w:rsidRPr="00C466B9">
        <w:rPr>
          <w:rFonts w:asciiTheme="majorHAnsi" w:hAnsiTheme="majorHAnsi"/>
        </w:rPr>
        <w:t>cceptance of paper proposals –</w:t>
      </w:r>
      <w:r w:rsidR="00886837" w:rsidRPr="00C466B9">
        <w:rPr>
          <w:rFonts w:asciiTheme="majorHAnsi" w:hAnsiTheme="majorHAnsi"/>
        </w:rPr>
        <w:t xml:space="preserve"> 28 February 2018</w:t>
      </w:r>
    </w:p>
    <w:p w:rsidR="00886837" w:rsidRDefault="00CD3582" w:rsidP="00DB398E">
      <w:pPr>
        <w:rPr>
          <w:rFonts w:asciiTheme="majorHAnsi" w:hAnsiTheme="majorHAnsi"/>
        </w:rPr>
      </w:pPr>
      <w:r w:rsidRPr="00C466B9">
        <w:rPr>
          <w:rFonts w:asciiTheme="majorHAnsi" w:hAnsiTheme="majorHAnsi"/>
        </w:rPr>
        <w:t>Submission</w:t>
      </w:r>
      <w:r w:rsidR="00B1651A" w:rsidRPr="00C466B9">
        <w:rPr>
          <w:rFonts w:asciiTheme="majorHAnsi" w:hAnsiTheme="majorHAnsi"/>
        </w:rPr>
        <w:t xml:space="preserve"> of full papers –</w:t>
      </w:r>
      <w:r w:rsidRPr="00C466B9">
        <w:rPr>
          <w:rFonts w:asciiTheme="majorHAnsi" w:hAnsiTheme="majorHAnsi"/>
        </w:rPr>
        <w:t xml:space="preserve"> </w:t>
      </w:r>
      <w:r w:rsidR="00A05F38" w:rsidRPr="00C466B9">
        <w:rPr>
          <w:rFonts w:asciiTheme="majorHAnsi" w:hAnsiTheme="majorHAnsi"/>
        </w:rPr>
        <w:t>15 May</w:t>
      </w:r>
      <w:r w:rsidRPr="00C466B9">
        <w:rPr>
          <w:rFonts w:asciiTheme="majorHAnsi" w:hAnsiTheme="majorHAnsi"/>
        </w:rPr>
        <w:t xml:space="preserve"> 2018</w:t>
      </w:r>
    </w:p>
    <w:p w:rsidR="00844F7B" w:rsidRDefault="00844F7B" w:rsidP="00DB398E">
      <w:pPr>
        <w:rPr>
          <w:rFonts w:asciiTheme="majorHAnsi" w:hAnsiTheme="majorHAnsi"/>
          <w:b/>
        </w:rPr>
      </w:pPr>
    </w:p>
    <w:p w:rsidR="00B1651A" w:rsidRPr="00B1651A" w:rsidRDefault="00B1651A" w:rsidP="00DB398E">
      <w:pPr>
        <w:rPr>
          <w:rFonts w:asciiTheme="majorHAnsi" w:hAnsiTheme="majorHAnsi"/>
          <w:b/>
        </w:rPr>
      </w:pPr>
      <w:r w:rsidRPr="00B1651A">
        <w:rPr>
          <w:rFonts w:asciiTheme="majorHAnsi" w:hAnsiTheme="majorHAnsi"/>
          <w:b/>
        </w:rPr>
        <w:t>REGISTRATION</w:t>
      </w:r>
    </w:p>
    <w:p w:rsidR="007E73A1" w:rsidRPr="007E73A1" w:rsidRDefault="007E73A1" w:rsidP="007E73A1">
      <w:pPr>
        <w:jc w:val="left"/>
        <w:rPr>
          <w:rFonts w:eastAsia="Times New Roman" w:cs="Times New Roman"/>
          <w:szCs w:val="24"/>
          <w:lang w:val="hr-HR" w:eastAsia="hr-HR"/>
        </w:rPr>
      </w:pPr>
    </w:p>
    <w:tbl>
      <w:tblPr>
        <w:tblW w:w="0" w:type="auto"/>
        <w:shd w:val="clear" w:color="auto" w:fill="FFFFFF"/>
        <w:tblCellMar>
          <w:left w:w="0" w:type="dxa"/>
          <w:right w:w="0" w:type="dxa"/>
        </w:tblCellMar>
        <w:tblLook w:val="04A0" w:firstRow="1" w:lastRow="0" w:firstColumn="1" w:lastColumn="0" w:noHBand="0" w:noVBand="1"/>
      </w:tblPr>
      <w:tblGrid>
        <w:gridCol w:w="3185"/>
        <w:gridCol w:w="2679"/>
        <w:gridCol w:w="3198"/>
      </w:tblGrid>
      <w:tr w:rsidR="007E73A1" w:rsidRPr="007E73A1" w:rsidTr="007E73A1">
        <w:tc>
          <w:tcPr>
            <w:tcW w:w="3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 </w:t>
            </w:r>
          </w:p>
        </w:tc>
        <w:tc>
          <w:tcPr>
            <w:tcW w:w="26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Early Bird Registration – before</w:t>
            </w:r>
            <w:r w:rsidR="00ED7E4F">
              <w:rPr>
                <w:rFonts w:ascii="Cambria" w:eastAsia="Times New Roman" w:hAnsi="Cambria" w:cs="Arial"/>
                <w:color w:val="222222"/>
                <w:szCs w:val="24"/>
                <w:lang w:eastAsia="hr-HR"/>
              </w:rPr>
              <w:t xml:space="preserve"> 15 April 2018</w:t>
            </w:r>
          </w:p>
        </w:tc>
        <w:tc>
          <w:tcPr>
            <w:tcW w:w="31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B7F70" w:rsidRDefault="00ED7E4F" w:rsidP="00ED7E4F">
            <w:pPr>
              <w:jc w:val="center"/>
              <w:rPr>
                <w:rFonts w:ascii="Cambria" w:eastAsia="Times New Roman" w:hAnsi="Cambria" w:cs="Arial"/>
                <w:color w:val="222222"/>
                <w:szCs w:val="24"/>
                <w:lang w:eastAsia="hr-HR"/>
              </w:rPr>
            </w:pPr>
            <w:r>
              <w:rPr>
                <w:rFonts w:ascii="Cambria" w:eastAsia="Times New Roman" w:hAnsi="Cambria" w:cs="Arial"/>
                <w:color w:val="222222"/>
                <w:szCs w:val="24"/>
                <w:lang w:eastAsia="hr-HR"/>
              </w:rPr>
              <w:t xml:space="preserve">Late </w:t>
            </w:r>
            <w:r w:rsidR="00FB7F70">
              <w:rPr>
                <w:rFonts w:ascii="Cambria" w:eastAsia="Times New Roman" w:hAnsi="Cambria" w:cs="Arial"/>
                <w:color w:val="222222"/>
                <w:szCs w:val="24"/>
                <w:lang w:eastAsia="hr-HR"/>
              </w:rPr>
              <w:t>Registration –</w:t>
            </w:r>
          </w:p>
          <w:p w:rsidR="007E73A1" w:rsidRPr="007E73A1" w:rsidRDefault="00FB7F70" w:rsidP="00ED7E4F">
            <w:pPr>
              <w:jc w:val="center"/>
              <w:rPr>
                <w:rFonts w:ascii="Arial" w:eastAsia="Times New Roman" w:hAnsi="Arial" w:cs="Arial"/>
                <w:color w:val="222222"/>
                <w:sz w:val="19"/>
                <w:szCs w:val="19"/>
                <w:lang w:val="hr-HR" w:eastAsia="hr-HR"/>
              </w:rPr>
            </w:pPr>
            <w:r>
              <w:rPr>
                <w:rFonts w:ascii="Cambria" w:eastAsia="Times New Roman" w:hAnsi="Cambria" w:cs="Arial"/>
                <w:color w:val="222222"/>
                <w:szCs w:val="24"/>
                <w:lang w:eastAsia="hr-HR"/>
              </w:rPr>
              <w:t>from 15 April to 18 May 2018</w:t>
            </w:r>
          </w:p>
        </w:tc>
      </w:tr>
      <w:tr w:rsidR="007E73A1" w:rsidRPr="007E73A1" w:rsidTr="007E73A1">
        <w:tc>
          <w:tcPr>
            <w:tcW w:w="31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ESREA members</w:t>
            </w:r>
          </w:p>
        </w:tc>
        <w:tc>
          <w:tcPr>
            <w:tcW w:w="26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val="hr-HR" w:eastAsia="hr-HR"/>
              </w:rPr>
              <w:t>130</w:t>
            </w:r>
            <w:r w:rsidR="00ED7E4F">
              <w:rPr>
                <w:rFonts w:ascii="Cambria" w:eastAsia="Times New Roman" w:hAnsi="Cambria" w:cs="Arial"/>
                <w:color w:val="222222"/>
                <w:szCs w:val="24"/>
                <w:lang w:val="hr-HR" w:eastAsia="hr-HR"/>
              </w:rPr>
              <w:t xml:space="preserve"> EUR</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160</w:t>
            </w:r>
            <w:r w:rsidR="00ED7E4F">
              <w:rPr>
                <w:rFonts w:ascii="Cambria" w:eastAsia="Times New Roman" w:hAnsi="Cambria" w:cs="Arial"/>
                <w:color w:val="222222"/>
                <w:szCs w:val="24"/>
                <w:lang w:eastAsia="hr-HR"/>
              </w:rPr>
              <w:t xml:space="preserve"> EUR</w:t>
            </w:r>
          </w:p>
        </w:tc>
      </w:tr>
      <w:tr w:rsidR="007E73A1" w:rsidRPr="007E73A1" w:rsidTr="007E73A1">
        <w:tc>
          <w:tcPr>
            <w:tcW w:w="31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Non-members</w:t>
            </w:r>
          </w:p>
        </w:tc>
        <w:tc>
          <w:tcPr>
            <w:tcW w:w="26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180</w:t>
            </w:r>
            <w:r w:rsidR="00ED7E4F">
              <w:rPr>
                <w:rFonts w:ascii="Cambria" w:eastAsia="Times New Roman" w:hAnsi="Cambria" w:cs="Arial"/>
                <w:color w:val="222222"/>
                <w:szCs w:val="24"/>
                <w:lang w:eastAsia="hr-HR"/>
              </w:rPr>
              <w:t xml:space="preserve"> EUR</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after="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 210</w:t>
            </w:r>
            <w:r w:rsidR="00ED7E4F">
              <w:rPr>
                <w:rFonts w:ascii="Cambria" w:eastAsia="Times New Roman" w:hAnsi="Cambria" w:cs="Arial"/>
                <w:color w:val="222222"/>
                <w:szCs w:val="24"/>
                <w:lang w:eastAsia="hr-HR"/>
              </w:rPr>
              <w:t xml:space="preserve"> EUR</w:t>
            </w:r>
          </w:p>
        </w:tc>
      </w:tr>
      <w:tr w:rsidR="007E73A1" w:rsidRPr="007E73A1" w:rsidTr="007E73A1">
        <w:tc>
          <w:tcPr>
            <w:tcW w:w="31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73A1" w:rsidRDefault="007E73A1" w:rsidP="007E73A1">
            <w:pPr>
              <w:spacing w:before="240"/>
              <w:jc w:val="center"/>
              <w:rPr>
                <w:rFonts w:ascii="Cambria" w:eastAsia="Times New Roman" w:hAnsi="Cambria" w:cs="Arial"/>
                <w:color w:val="222222"/>
                <w:szCs w:val="24"/>
                <w:lang w:eastAsia="hr-HR"/>
              </w:rPr>
            </w:pPr>
            <w:r w:rsidRPr="007E73A1">
              <w:rPr>
                <w:rFonts w:ascii="Cambria" w:eastAsia="Times New Roman" w:hAnsi="Cambria" w:cs="Arial"/>
                <w:color w:val="222222"/>
                <w:szCs w:val="24"/>
                <w:lang w:eastAsia="hr-HR"/>
              </w:rPr>
              <w:t>PhD students</w:t>
            </w:r>
          </w:p>
          <w:p w:rsidR="007E73A1" w:rsidRPr="007E73A1" w:rsidRDefault="007E73A1" w:rsidP="007E73A1">
            <w:pPr>
              <w:spacing w:before="240"/>
              <w:jc w:val="center"/>
              <w:rPr>
                <w:rFonts w:ascii="Arial" w:eastAsia="Times New Roman" w:hAnsi="Arial" w:cs="Arial"/>
                <w:color w:val="222222"/>
                <w:sz w:val="19"/>
                <w:szCs w:val="19"/>
                <w:lang w:val="hr-HR" w:eastAsia="hr-HR"/>
              </w:rPr>
            </w:pPr>
          </w:p>
        </w:tc>
        <w:tc>
          <w:tcPr>
            <w:tcW w:w="26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 60</w:t>
            </w:r>
            <w:r w:rsidR="00ED7E4F">
              <w:rPr>
                <w:rFonts w:ascii="Cambria" w:eastAsia="Times New Roman" w:hAnsi="Cambria" w:cs="Arial"/>
                <w:color w:val="222222"/>
                <w:szCs w:val="24"/>
                <w:lang w:eastAsia="hr-HR"/>
              </w:rPr>
              <w:t xml:space="preserve"> EUR</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E73A1" w:rsidRPr="007E73A1" w:rsidRDefault="007E73A1" w:rsidP="007E73A1">
            <w:pPr>
              <w:spacing w:before="240"/>
              <w:jc w:val="center"/>
              <w:rPr>
                <w:rFonts w:ascii="Arial" w:eastAsia="Times New Roman" w:hAnsi="Arial" w:cs="Arial"/>
                <w:color w:val="222222"/>
                <w:sz w:val="19"/>
                <w:szCs w:val="19"/>
                <w:lang w:val="hr-HR" w:eastAsia="hr-HR"/>
              </w:rPr>
            </w:pPr>
            <w:r w:rsidRPr="007E73A1">
              <w:rPr>
                <w:rFonts w:ascii="Cambria" w:eastAsia="Times New Roman" w:hAnsi="Cambria" w:cs="Arial"/>
                <w:color w:val="222222"/>
                <w:szCs w:val="24"/>
                <w:lang w:eastAsia="hr-HR"/>
              </w:rPr>
              <w:t> 100</w:t>
            </w:r>
            <w:r w:rsidR="00ED7E4F">
              <w:rPr>
                <w:rFonts w:ascii="Cambria" w:eastAsia="Times New Roman" w:hAnsi="Cambria" w:cs="Arial"/>
                <w:color w:val="222222"/>
                <w:szCs w:val="24"/>
                <w:lang w:eastAsia="hr-HR"/>
              </w:rPr>
              <w:t xml:space="preserve"> EUR</w:t>
            </w:r>
          </w:p>
        </w:tc>
      </w:tr>
    </w:tbl>
    <w:p w:rsidR="00727ED9" w:rsidRDefault="00727ED9" w:rsidP="00DB398E">
      <w:pPr>
        <w:rPr>
          <w:rFonts w:asciiTheme="majorHAnsi" w:hAnsiTheme="majorHAnsi"/>
        </w:rPr>
      </w:pPr>
    </w:p>
    <w:p w:rsidR="007E73A1" w:rsidRDefault="007E73A1" w:rsidP="00DB398E">
      <w:pPr>
        <w:rPr>
          <w:rFonts w:asciiTheme="majorHAnsi" w:hAnsiTheme="majorHAnsi"/>
        </w:rPr>
      </w:pPr>
    </w:p>
    <w:p w:rsidR="00A05F38" w:rsidRPr="00A05F38" w:rsidRDefault="00ED180F" w:rsidP="00DB398E">
      <w:pPr>
        <w:rPr>
          <w:rFonts w:asciiTheme="majorHAnsi" w:hAnsiTheme="majorHAnsi"/>
        </w:rPr>
      </w:pPr>
      <w:r>
        <w:rPr>
          <w:rFonts w:asciiTheme="majorHAnsi" w:hAnsiTheme="majorHAnsi"/>
          <w:b/>
        </w:rPr>
        <w:t>Conference F</w:t>
      </w:r>
      <w:r w:rsidR="00A05F38">
        <w:rPr>
          <w:rFonts w:asciiTheme="majorHAnsi" w:hAnsiTheme="majorHAnsi"/>
          <w:b/>
        </w:rPr>
        <w:t>ee</w:t>
      </w:r>
    </w:p>
    <w:p w:rsidR="00B1651A" w:rsidRPr="00B1651A" w:rsidRDefault="00B1651A" w:rsidP="00DB398E">
      <w:pPr>
        <w:rPr>
          <w:rFonts w:asciiTheme="majorHAnsi" w:hAnsiTheme="majorHAnsi"/>
        </w:rPr>
      </w:pPr>
      <w:r w:rsidRPr="00B1651A">
        <w:rPr>
          <w:rFonts w:asciiTheme="majorHAnsi" w:hAnsiTheme="majorHAnsi"/>
        </w:rPr>
        <w:t>The conference fee will include conferen</w:t>
      </w:r>
      <w:r w:rsidR="00A218BD">
        <w:rPr>
          <w:rFonts w:asciiTheme="majorHAnsi" w:hAnsiTheme="majorHAnsi"/>
        </w:rPr>
        <w:t>ce materials, coffee breaks duri</w:t>
      </w:r>
      <w:r w:rsidRPr="00B1651A">
        <w:rPr>
          <w:rFonts w:asciiTheme="majorHAnsi" w:hAnsiTheme="majorHAnsi"/>
        </w:rPr>
        <w:t>ng the conference, and lunch on Friday and Saturday.</w:t>
      </w:r>
    </w:p>
    <w:p w:rsidR="00B1651A" w:rsidRDefault="00B1651A" w:rsidP="00DB398E">
      <w:pPr>
        <w:rPr>
          <w:rFonts w:asciiTheme="majorHAnsi" w:hAnsiTheme="majorHAnsi"/>
        </w:rPr>
      </w:pPr>
      <w:r w:rsidRPr="00B1651A">
        <w:rPr>
          <w:rFonts w:asciiTheme="majorHAnsi" w:hAnsiTheme="majorHAnsi"/>
        </w:rPr>
        <w:t>The c</w:t>
      </w:r>
      <w:r w:rsidR="00A218BD">
        <w:rPr>
          <w:rFonts w:asciiTheme="majorHAnsi" w:hAnsiTheme="majorHAnsi"/>
        </w:rPr>
        <w:t>ost of the conference dinner – v</w:t>
      </w:r>
      <w:r w:rsidRPr="00B1651A">
        <w:rPr>
          <w:rFonts w:asciiTheme="majorHAnsi" w:hAnsiTheme="majorHAnsi"/>
        </w:rPr>
        <w:t>enue to be announced – is s</w:t>
      </w:r>
      <w:r w:rsidR="00C36B10">
        <w:rPr>
          <w:rFonts w:asciiTheme="majorHAnsi" w:hAnsiTheme="majorHAnsi"/>
        </w:rPr>
        <w:t>eparate from the conference fee</w:t>
      </w:r>
      <w:r w:rsidRPr="00B1651A">
        <w:rPr>
          <w:rFonts w:asciiTheme="majorHAnsi" w:hAnsiTheme="majorHAnsi"/>
        </w:rPr>
        <w:t>.</w:t>
      </w:r>
    </w:p>
    <w:p w:rsidR="00C36B10" w:rsidRPr="00B1651A" w:rsidRDefault="00C36B10" w:rsidP="00DB398E">
      <w:pPr>
        <w:rPr>
          <w:rFonts w:asciiTheme="majorHAnsi" w:hAnsiTheme="majorHAnsi"/>
        </w:rPr>
      </w:pPr>
    </w:p>
    <w:p w:rsidR="00E86E6A" w:rsidRPr="00825AAA" w:rsidRDefault="00ED180F" w:rsidP="00E86E6A">
      <w:pPr>
        <w:rPr>
          <w:rFonts w:ascii="Cambria" w:eastAsia="Calibri" w:hAnsi="Cambria" w:cs="Times New Roman"/>
          <w:b/>
        </w:rPr>
      </w:pPr>
      <w:r>
        <w:rPr>
          <w:rFonts w:ascii="Cambria" w:eastAsia="Calibri" w:hAnsi="Cambria" w:cs="Times New Roman"/>
          <w:b/>
        </w:rPr>
        <w:t>Student B</w:t>
      </w:r>
      <w:r w:rsidR="00E86E6A" w:rsidRPr="00825AAA">
        <w:rPr>
          <w:rFonts w:ascii="Cambria" w:eastAsia="Calibri" w:hAnsi="Cambria" w:cs="Times New Roman"/>
          <w:b/>
        </w:rPr>
        <w:t>ursaries</w:t>
      </w:r>
    </w:p>
    <w:p w:rsidR="00E86E6A" w:rsidRPr="00825AAA" w:rsidRDefault="00E86E6A" w:rsidP="00E86E6A">
      <w:pPr>
        <w:rPr>
          <w:rFonts w:ascii="Cambria" w:eastAsia="Calibri" w:hAnsi="Cambria" w:cs="Times New Roman"/>
        </w:rPr>
      </w:pPr>
      <w:r w:rsidRPr="00825AAA">
        <w:rPr>
          <w:rFonts w:ascii="Cambria" w:eastAsia="Calibri" w:hAnsi="Cambria" w:cs="Times New Roman"/>
        </w:rPr>
        <w:t>As a w</w:t>
      </w:r>
      <w:r>
        <w:rPr>
          <w:rFonts w:ascii="Cambria" w:eastAsia="Calibri" w:hAnsi="Cambria" w:cs="Times New Roman"/>
        </w:rPr>
        <w:t xml:space="preserve">ay to support graduate </w:t>
      </w:r>
      <w:r w:rsidRPr="00825AAA">
        <w:rPr>
          <w:rFonts w:ascii="Cambria" w:eastAsia="Calibri" w:hAnsi="Cambria" w:cs="Times New Roman"/>
        </w:rPr>
        <w:t>student</w:t>
      </w:r>
      <w:r>
        <w:rPr>
          <w:rFonts w:ascii="Cambria" w:eastAsia="Calibri" w:hAnsi="Cambria" w:cs="Times New Roman"/>
        </w:rPr>
        <w:t>s’</w:t>
      </w:r>
      <w:r w:rsidRPr="00825AAA">
        <w:rPr>
          <w:rFonts w:ascii="Cambria" w:eastAsia="Calibri" w:hAnsi="Cambria" w:cs="Times New Roman"/>
        </w:rPr>
        <w:t xml:space="preserve"> participation in the conference, three bursaries </w:t>
      </w:r>
      <w:r>
        <w:rPr>
          <w:rFonts w:ascii="Cambria" w:eastAsia="Calibri" w:hAnsi="Cambria" w:cs="Times New Roman"/>
        </w:rPr>
        <w:t xml:space="preserve">will be awarded </w:t>
      </w:r>
      <w:r w:rsidR="008966AD">
        <w:rPr>
          <w:rFonts w:ascii="Cambria" w:eastAsia="Calibri" w:hAnsi="Cambria" w:cs="Times New Roman"/>
        </w:rPr>
        <w:t xml:space="preserve">to graduate students (PhD and </w:t>
      </w:r>
      <w:r>
        <w:rPr>
          <w:rFonts w:ascii="Cambria" w:eastAsia="Calibri" w:hAnsi="Cambria" w:cs="Times New Roman"/>
        </w:rPr>
        <w:t xml:space="preserve">MA </w:t>
      </w:r>
      <w:r w:rsidRPr="00825AAA">
        <w:rPr>
          <w:rFonts w:ascii="Cambria" w:eastAsia="Calibri" w:hAnsi="Cambria" w:cs="Times New Roman"/>
        </w:rPr>
        <w:t>student</w:t>
      </w:r>
      <w:r>
        <w:rPr>
          <w:rFonts w:ascii="Cambria" w:eastAsia="Calibri" w:hAnsi="Cambria" w:cs="Times New Roman"/>
        </w:rPr>
        <w:t>s</w:t>
      </w:r>
      <w:r w:rsidRPr="00825AAA">
        <w:rPr>
          <w:rFonts w:ascii="Cambria" w:eastAsia="Calibri" w:hAnsi="Cambria" w:cs="Times New Roman"/>
        </w:rPr>
        <w:t xml:space="preserve">). </w:t>
      </w:r>
      <w:r>
        <w:rPr>
          <w:rFonts w:ascii="Cambria" w:eastAsia="Calibri" w:hAnsi="Cambria" w:cs="Times New Roman"/>
        </w:rPr>
        <w:t xml:space="preserve">The applicant’s </w:t>
      </w:r>
      <w:r w:rsidRPr="00825AAA">
        <w:rPr>
          <w:rFonts w:ascii="Cambria" w:eastAsia="Calibri" w:hAnsi="Cambria" w:cs="Times New Roman"/>
          <w:lang w:val="en-US"/>
        </w:rPr>
        <w:t xml:space="preserve">institution/university should be </w:t>
      </w:r>
      <w:r w:rsidR="00A05F38">
        <w:rPr>
          <w:rFonts w:ascii="Cambria" w:eastAsia="Calibri" w:hAnsi="Cambria" w:cs="Times New Roman"/>
          <w:lang w:val="en-US"/>
        </w:rPr>
        <w:t>a</w:t>
      </w:r>
      <w:r w:rsidRPr="00825AAA">
        <w:rPr>
          <w:rFonts w:ascii="Cambria" w:eastAsia="Calibri" w:hAnsi="Cambria" w:cs="Times New Roman"/>
          <w:lang w:val="en-US"/>
        </w:rPr>
        <w:t xml:space="preserve"> member of ESREA</w:t>
      </w:r>
      <w:r w:rsidRPr="00825AAA">
        <w:rPr>
          <w:rFonts w:ascii="Cambria" w:eastAsia="Calibri" w:hAnsi="Cambria" w:cs="Times New Roman"/>
        </w:rPr>
        <w:t xml:space="preserve"> and </w:t>
      </w:r>
      <w:r>
        <w:rPr>
          <w:rFonts w:ascii="Cambria" w:eastAsia="Calibri" w:hAnsi="Cambria" w:cs="Times New Roman"/>
        </w:rPr>
        <w:t>the applicant has</w:t>
      </w:r>
      <w:r w:rsidRPr="00825AAA">
        <w:rPr>
          <w:rFonts w:ascii="Cambria" w:eastAsia="Calibri" w:hAnsi="Cambria" w:cs="Times New Roman"/>
        </w:rPr>
        <w:t xml:space="preserve"> to submit a </w:t>
      </w:r>
      <w:r w:rsidR="00A05F38">
        <w:rPr>
          <w:rFonts w:ascii="Cambria" w:eastAsia="Calibri" w:hAnsi="Cambria" w:cs="Times New Roman"/>
        </w:rPr>
        <w:t>proposal for the</w:t>
      </w:r>
      <w:r w:rsidRPr="00825AAA">
        <w:rPr>
          <w:rFonts w:ascii="Cambria" w:eastAsia="Calibri" w:hAnsi="Cambria" w:cs="Times New Roman"/>
        </w:rPr>
        <w:t xml:space="preserve"> conference.</w:t>
      </w:r>
    </w:p>
    <w:p w:rsidR="00E86E6A" w:rsidRPr="00825AAA" w:rsidRDefault="00E86E6A" w:rsidP="00E86E6A">
      <w:pPr>
        <w:rPr>
          <w:rFonts w:ascii="Cambria" w:eastAsia="Calibri" w:hAnsi="Cambria" w:cs="Times New Roman"/>
        </w:rPr>
      </w:pPr>
      <w:r w:rsidRPr="00825AAA">
        <w:rPr>
          <w:rFonts w:ascii="Cambria" w:eastAsia="Calibri" w:hAnsi="Cambria" w:cs="Times New Roman"/>
        </w:rPr>
        <w:t xml:space="preserve">The bursary is </w:t>
      </w:r>
      <w:r w:rsidR="00A05F38">
        <w:rPr>
          <w:rFonts w:ascii="Cambria" w:eastAsia="Calibri" w:hAnsi="Cambria" w:cs="Times New Roman"/>
        </w:rPr>
        <w:t>300 EUR</w:t>
      </w:r>
      <w:r>
        <w:rPr>
          <w:rFonts w:ascii="Cambria" w:eastAsia="Calibri" w:hAnsi="Cambria" w:cs="Times New Roman"/>
        </w:rPr>
        <w:t xml:space="preserve"> per </w:t>
      </w:r>
      <w:r w:rsidRPr="00825AAA">
        <w:rPr>
          <w:rFonts w:ascii="Cambria" w:eastAsia="Calibri" w:hAnsi="Cambria" w:cs="Times New Roman"/>
        </w:rPr>
        <w:t xml:space="preserve">person and should be used </w:t>
      </w:r>
      <w:r w:rsidR="00481C4F">
        <w:rPr>
          <w:rFonts w:ascii="Cambria" w:eastAsia="Calibri" w:hAnsi="Cambria" w:cs="Times New Roman"/>
        </w:rPr>
        <w:t>for</w:t>
      </w:r>
      <w:r w:rsidRPr="00825AAA">
        <w:rPr>
          <w:rFonts w:ascii="Cambria" w:eastAsia="Calibri" w:hAnsi="Cambria" w:cs="Times New Roman"/>
        </w:rPr>
        <w:t xml:space="preserve"> travel and/or accommodation </w:t>
      </w:r>
      <w:r>
        <w:rPr>
          <w:rFonts w:ascii="Cambria" w:eastAsia="Calibri" w:hAnsi="Cambria" w:cs="Times New Roman"/>
        </w:rPr>
        <w:t>costs</w:t>
      </w:r>
      <w:r w:rsidRPr="00825AAA">
        <w:rPr>
          <w:rFonts w:ascii="Cambria" w:eastAsia="Calibri" w:hAnsi="Cambria" w:cs="Times New Roman"/>
        </w:rPr>
        <w:t xml:space="preserve"> </w:t>
      </w:r>
      <w:r w:rsidR="00481C4F">
        <w:rPr>
          <w:rFonts w:ascii="Cambria" w:eastAsia="Calibri" w:hAnsi="Cambria" w:cs="Times New Roman"/>
        </w:rPr>
        <w:t>only</w:t>
      </w:r>
      <w:r w:rsidRPr="00825AAA">
        <w:rPr>
          <w:rFonts w:ascii="Cambria" w:eastAsia="Calibri" w:hAnsi="Cambria" w:cs="Times New Roman"/>
        </w:rPr>
        <w:t>.</w:t>
      </w:r>
    </w:p>
    <w:p w:rsidR="00E86E6A" w:rsidRPr="00C466B9" w:rsidRDefault="00E86E6A" w:rsidP="00E86E6A">
      <w:pPr>
        <w:rPr>
          <w:rFonts w:ascii="Cambria" w:eastAsia="Calibri" w:hAnsi="Cambria" w:cs="Times New Roman"/>
        </w:rPr>
      </w:pPr>
      <w:r w:rsidRPr="00825AAA">
        <w:rPr>
          <w:rFonts w:ascii="Cambria" w:eastAsia="Calibri" w:hAnsi="Cambria" w:cs="Times New Roman"/>
        </w:rPr>
        <w:t xml:space="preserve">Applications should be </w:t>
      </w:r>
      <w:r w:rsidR="00472E6A">
        <w:rPr>
          <w:rFonts w:ascii="Cambria" w:eastAsia="Calibri" w:hAnsi="Cambria" w:cs="Times New Roman"/>
        </w:rPr>
        <w:t xml:space="preserve">first </w:t>
      </w:r>
      <w:r w:rsidRPr="00825AAA">
        <w:rPr>
          <w:rFonts w:ascii="Cambria" w:eastAsia="Calibri" w:hAnsi="Cambria" w:cs="Times New Roman"/>
        </w:rPr>
        <w:t xml:space="preserve">submitted no later than </w:t>
      </w:r>
      <w:r w:rsidR="001579A2" w:rsidRPr="00497EB3">
        <w:rPr>
          <w:rFonts w:ascii="Cambria" w:eastAsia="Calibri" w:hAnsi="Cambria" w:cs="Times New Roman"/>
          <w:b/>
        </w:rPr>
        <w:t>15 April 2018</w:t>
      </w:r>
      <w:r w:rsidR="00C466B9" w:rsidRPr="00C466B9">
        <w:rPr>
          <w:rFonts w:ascii="Cambria" w:eastAsia="Calibri" w:hAnsi="Cambria" w:cs="Times New Roman"/>
        </w:rPr>
        <w:t xml:space="preserve"> to</w:t>
      </w:r>
      <w:r w:rsidR="00C466B9">
        <w:rPr>
          <w:rFonts w:ascii="Cambria" w:eastAsia="Calibri" w:hAnsi="Cambria" w:cs="Times New Roman"/>
        </w:rPr>
        <w:t xml:space="preserve">: </w:t>
      </w:r>
      <w:hyperlink r:id="rId9" w:history="1">
        <w:r w:rsidR="00C466B9" w:rsidRPr="005B4218">
          <w:rPr>
            <w:rStyle w:val="Hiperhivatkozs"/>
            <w:rFonts w:asciiTheme="majorHAnsi" w:hAnsiTheme="majorHAnsi"/>
          </w:rPr>
          <w:t>esrea.dante@gmail.com</w:t>
        </w:r>
      </w:hyperlink>
      <w:r w:rsidR="00C466B9">
        <w:rPr>
          <w:rFonts w:asciiTheme="majorHAnsi" w:hAnsiTheme="majorHAnsi"/>
        </w:rPr>
        <w:t>.</w:t>
      </w:r>
    </w:p>
    <w:p w:rsidR="00E86E6A" w:rsidRPr="00825AAA" w:rsidRDefault="00C466B9" w:rsidP="00E86E6A">
      <w:pPr>
        <w:rPr>
          <w:rFonts w:ascii="Cambria" w:eastAsia="Calibri" w:hAnsi="Cambria" w:cs="Times New Roman"/>
        </w:rPr>
      </w:pPr>
      <w:r w:rsidRPr="00C466B9">
        <w:rPr>
          <w:rFonts w:ascii="Cambria" w:eastAsia="Calibri" w:hAnsi="Cambria" w:cs="Times New Roman"/>
        </w:rPr>
        <w:t>Q</w:t>
      </w:r>
      <w:r w:rsidR="00E86E6A" w:rsidRPr="00C466B9">
        <w:rPr>
          <w:rFonts w:ascii="Cambria" w:eastAsia="Calibri" w:hAnsi="Cambria" w:cs="Times New Roman"/>
        </w:rPr>
        <w:t xml:space="preserve">uestions regarding the application procedure should be directed to </w:t>
      </w:r>
      <w:r w:rsidR="00ED7E4F" w:rsidRPr="00C466B9">
        <w:rPr>
          <w:rFonts w:ascii="Cambria" w:eastAsia="Calibri" w:hAnsi="Cambria" w:cs="Times New Roman"/>
        </w:rPr>
        <w:t xml:space="preserve">Robert </w:t>
      </w:r>
      <w:proofErr w:type="spellStart"/>
      <w:r w:rsidR="00ED7E4F" w:rsidRPr="00C466B9">
        <w:rPr>
          <w:rFonts w:ascii="Cambria" w:eastAsia="Calibri" w:hAnsi="Cambria" w:cs="Times New Roman"/>
        </w:rPr>
        <w:t>Aman</w:t>
      </w:r>
      <w:proofErr w:type="spellEnd"/>
      <w:r w:rsidR="00ED7E4F" w:rsidRPr="00C466B9">
        <w:rPr>
          <w:rFonts w:ascii="Cambria" w:eastAsia="Calibri" w:hAnsi="Cambria" w:cs="Times New Roman"/>
        </w:rPr>
        <w:t xml:space="preserve">, </w:t>
      </w:r>
      <w:r w:rsidR="00E86E6A" w:rsidRPr="00C466B9">
        <w:rPr>
          <w:rFonts w:ascii="Cambria" w:eastAsia="Calibri" w:hAnsi="Cambria" w:cs="Times New Roman"/>
        </w:rPr>
        <w:t>the secretary of ESREA (</w:t>
      </w:r>
      <w:hyperlink r:id="rId10" w:history="1">
        <w:r w:rsidR="00E86E6A" w:rsidRPr="00C466B9">
          <w:rPr>
            <w:rFonts w:ascii="Cambria" w:eastAsia="Calibri" w:hAnsi="Cambria" w:cs="Times New Roman"/>
            <w:color w:val="0000FF"/>
            <w:u w:val="single"/>
          </w:rPr>
          <w:t>robert.aman@liu.se</w:t>
        </w:r>
      </w:hyperlink>
      <w:r w:rsidR="00E86E6A" w:rsidRPr="00C466B9">
        <w:rPr>
          <w:rFonts w:ascii="Cambria" w:eastAsia="Calibri" w:hAnsi="Cambria" w:cs="Times New Roman"/>
        </w:rPr>
        <w:t>).</w:t>
      </w:r>
    </w:p>
    <w:p w:rsidR="009A6B2F" w:rsidRDefault="009A6B2F" w:rsidP="00DB398E">
      <w:pPr>
        <w:rPr>
          <w:rFonts w:asciiTheme="majorHAnsi" w:hAnsiTheme="majorHAnsi"/>
        </w:rPr>
      </w:pPr>
    </w:p>
    <w:p w:rsidR="00B1651A" w:rsidRPr="00B1651A" w:rsidRDefault="00B1651A" w:rsidP="00DB398E">
      <w:pPr>
        <w:rPr>
          <w:rFonts w:asciiTheme="majorHAnsi" w:hAnsiTheme="majorHAnsi"/>
          <w:b/>
        </w:rPr>
      </w:pPr>
    </w:p>
    <w:p w:rsidR="00844F7B" w:rsidRDefault="00844F7B" w:rsidP="00DB398E">
      <w:pPr>
        <w:rPr>
          <w:rFonts w:asciiTheme="majorHAnsi" w:hAnsiTheme="majorHAnsi"/>
          <w:b/>
        </w:rPr>
      </w:pPr>
    </w:p>
    <w:p w:rsidR="00844F7B" w:rsidRDefault="00844F7B" w:rsidP="00DB398E">
      <w:pPr>
        <w:rPr>
          <w:rFonts w:asciiTheme="majorHAnsi" w:hAnsiTheme="majorHAnsi"/>
          <w:b/>
        </w:rPr>
      </w:pPr>
    </w:p>
    <w:p w:rsidR="00844F7B" w:rsidRDefault="00844F7B" w:rsidP="00DB398E">
      <w:pPr>
        <w:rPr>
          <w:rFonts w:asciiTheme="majorHAnsi" w:hAnsiTheme="majorHAnsi"/>
          <w:b/>
        </w:rPr>
      </w:pPr>
    </w:p>
    <w:p w:rsidR="00844F7B" w:rsidRDefault="00844F7B" w:rsidP="00DB398E">
      <w:pPr>
        <w:rPr>
          <w:rFonts w:asciiTheme="majorHAnsi" w:hAnsiTheme="majorHAnsi"/>
          <w:b/>
        </w:rPr>
      </w:pPr>
    </w:p>
    <w:p w:rsidR="00B1651A" w:rsidRPr="00B1651A" w:rsidRDefault="00B1651A" w:rsidP="00DB398E">
      <w:pPr>
        <w:rPr>
          <w:rFonts w:asciiTheme="majorHAnsi" w:hAnsiTheme="majorHAnsi"/>
          <w:b/>
        </w:rPr>
      </w:pPr>
      <w:r w:rsidRPr="00B1651A">
        <w:rPr>
          <w:rFonts w:asciiTheme="majorHAnsi" w:hAnsiTheme="majorHAnsi"/>
          <w:b/>
        </w:rPr>
        <w:lastRenderedPageBreak/>
        <w:t>CONTACT</w:t>
      </w:r>
    </w:p>
    <w:p w:rsidR="00B1651A" w:rsidRPr="00B1651A" w:rsidRDefault="00B1651A" w:rsidP="00DB398E">
      <w:pPr>
        <w:rPr>
          <w:rFonts w:asciiTheme="majorHAnsi" w:hAnsiTheme="majorHAnsi"/>
          <w:b/>
        </w:rPr>
      </w:pPr>
    </w:p>
    <w:p w:rsidR="00B1651A" w:rsidRPr="00B1651A" w:rsidRDefault="00B1651A" w:rsidP="00DB398E">
      <w:pPr>
        <w:rPr>
          <w:rFonts w:asciiTheme="majorHAnsi" w:hAnsiTheme="majorHAnsi"/>
          <w:b/>
        </w:rPr>
      </w:pPr>
      <w:r w:rsidRPr="00497EB3">
        <w:rPr>
          <w:rFonts w:asciiTheme="majorHAnsi" w:hAnsiTheme="majorHAnsi"/>
          <w:b/>
        </w:rPr>
        <w:t>Scientific Committee</w:t>
      </w:r>
    </w:p>
    <w:p w:rsidR="00B1651A" w:rsidRDefault="00B1651A" w:rsidP="00DB398E">
      <w:pPr>
        <w:rPr>
          <w:rFonts w:asciiTheme="majorHAnsi" w:hAnsiTheme="majorHAnsi"/>
        </w:rPr>
      </w:pPr>
      <w:proofErr w:type="spellStart"/>
      <w:r w:rsidRPr="00B1651A">
        <w:rPr>
          <w:rFonts w:asciiTheme="majorHAnsi" w:hAnsiTheme="majorHAnsi"/>
        </w:rPr>
        <w:t>Ewa</w:t>
      </w:r>
      <w:proofErr w:type="spellEnd"/>
      <w:r w:rsidRPr="00B1651A">
        <w:rPr>
          <w:rFonts w:asciiTheme="majorHAnsi" w:hAnsiTheme="majorHAnsi"/>
        </w:rPr>
        <w:t xml:space="preserve"> </w:t>
      </w:r>
      <w:proofErr w:type="spellStart"/>
      <w:r w:rsidRPr="00B1651A">
        <w:rPr>
          <w:rFonts w:asciiTheme="majorHAnsi" w:hAnsiTheme="majorHAnsi"/>
        </w:rPr>
        <w:t>Kurantowicz</w:t>
      </w:r>
      <w:proofErr w:type="spellEnd"/>
      <w:r w:rsidRPr="00B1651A">
        <w:rPr>
          <w:rFonts w:asciiTheme="majorHAnsi" w:hAnsiTheme="majorHAnsi"/>
        </w:rPr>
        <w:t xml:space="preserve"> (Wroclaw), Emilio Lucio-Villegas (Seville), Rob Evans (Magdeburg), </w:t>
      </w:r>
      <w:r w:rsidR="00852445">
        <w:rPr>
          <w:rFonts w:asciiTheme="majorHAnsi" w:hAnsiTheme="majorHAnsi"/>
        </w:rPr>
        <w:t>Katarina Popović (Belgrade)</w:t>
      </w:r>
      <w:r w:rsidR="00497EB3">
        <w:rPr>
          <w:rFonts w:asciiTheme="majorHAnsi" w:hAnsiTheme="majorHAnsi"/>
        </w:rPr>
        <w:t xml:space="preserve">, </w:t>
      </w:r>
      <w:proofErr w:type="spellStart"/>
      <w:r w:rsidR="00497EB3">
        <w:rPr>
          <w:rFonts w:asciiTheme="majorHAnsi" w:hAnsiTheme="majorHAnsi"/>
        </w:rPr>
        <w:t>Marijeta</w:t>
      </w:r>
      <w:proofErr w:type="spellEnd"/>
      <w:r w:rsidR="00497EB3">
        <w:rPr>
          <w:rFonts w:asciiTheme="majorHAnsi" w:hAnsiTheme="majorHAnsi"/>
        </w:rPr>
        <w:t xml:space="preserve"> </w:t>
      </w:r>
      <w:proofErr w:type="spellStart"/>
      <w:r w:rsidR="00497EB3">
        <w:rPr>
          <w:rFonts w:asciiTheme="majorHAnsi" w:hAnsiTheme="majorHAnsi"/>
        </w:rPr>
        <w:t>Mašić</w:t>
      </w:r>
      <w:proofErr w:type="spellEnd"/>
      <w:r w:rsidR="00497EB3">
        <w:rPr>
          <w:rFonts w:asciiTheme="majorHAnsi" w:hAnsiTheme="majorHAnsi"/>
        </w:rPr>
        <w:t xml:space="preserve"> (Rijeka), </w:t>
      </w:r>
      <w:proofErr w:type="spellStart"/>
      <w:r w:rsidR="00497EB3">
        <w:rPr>
          <w:rFonts w:asciiTheme="majorHAnsi" w:hAnsiTheme="majorHAnsi"/>
        </w:rPr>
        <w:t>Siniša</w:t>
      </w:r>
      <w:proofErr w:type="spellEnd"/>
      <w:r w:rsidR="00497EB3">
        <w:rPr>
          <w:rFonts w:asciiTheme="majorHAnsi" w:hAnsiTheme="majorHAnsi"/>
        </w:rPr>
        <w:t xml:space="preserve"> </w:t>
      </w:r>
      <w:proofErr w:type="spellStart"/>
      <w:r w:rsidR="00497EB3">
        <w:rPr>
          <w:rFonts w:asciiTheme="majorHAnsi" w:hAnsiTheme="majorHAnsi"/>
        </w:rPr>
        <w:t>Smiljanić</w:t>
      </w:r>
      <w:proofErr w:type="spellEnd"/>
      <w:r w:rsidR="00497EB3">
        <w:rPr>
          <w:rFonts w:asciiTheme="majorHAnsi" w:hAnsiTheme="majorHAnsi"/>
        </w:rPr>
        <w:t xml:space="preserve"> (Rijeka)</w:t>
      </w:r>
    </w:p>
    <w:p w:rsidR="00C36B10" w:rsidRPr="00B1651A" w:rsidRDefault="00C36B10" w:rsidP="00DB398E">
      <w:pPr>
        <w:rPr>
          <w:rFonts w:asciiTheme="majorHAnsi" w:hAnsiTheme="majorHAnsi"/>
        </w:rPr>
      </w:pPr>
    </w:p>
    <w:p w:rsidR="00B1651A" w:rsidRPr="00B1651A" w:rsidRDefault="00B1651A" w:rsidP="00DB398E">
      <w:pPr>
        <w:rPr>
          <w:rFonts w:asciiTheme="majorHAnsi" w:hAnsiTheme="majorHAnsi"/>
          <w:b/>
        </w:rPr>
      </w:pPr>
      <w:r w:rsidRPr="00497EB3">
        <w:rPr>
          <w:rFonts w:asciiTheme="majorHAnsi" w:hAnsiTheme="majorHAnsi"/>
          <w:b/>
        </w:rPr>
        <w:t>Organising Committee</w:t>
      </w:r>
    </w:p>
    <w:p w:rsidR="00852445" w:rsidRPr="00852445" w:rsidRDefault="00B1651A" w:rsidP="00852445">
      <w:pPr>
        <w:rPr>
          <w:rFonts w:asciiTheme="majorHAnsi" w:hAnsiTheme="majorHAnsi"/>
        </w:rPr>
      </w:pPr>
      <w:r w:rsidRPr="00B1651A">
        <w:rPr>
          <w:rFonts w:asciiTheme="majorHAnsi" w:hAnsiTheme="majorHAnsi"/>
        </w:rPr>
        <w:t xml:space="preserve">Rob Evans, </w:t>
      </w:r>
      <w:proofErr w:type="spellStart"/>
      <w:r w:rsidRPr="00B1651A">
        <w:rPr>
          <w:rFonts w:asciiTheme="majorHAnsi" w:hAnsiTheme="majorHAnsi"/>
        </w:rPr>
        <w:t>Ewa</w:t>
      </w:r>
      <w:proofErr w:type="spellEnd"/>
      <w:r w:rsidRPr="00B1651A">
        <w:rPr>
          <w:rFonts w:asciiTheme="majorHAnsi" w:hAnsiTheme="majorHAnsi"/>
        </w:rPr>
        <w:t xml:space="preserve"> </w:t>
      </w:r>
      <w:proofErr w:type="spellStart"/>
      <w:r w:rsidRPr="00B1651A">
        <w:rPr>
          <w:rFonts w:asciiTheme="majorHAnsi" w:hAnsiTheme="majorHAnsi"/>
        </w:rPr>
        <w:t>Kurantowicz</w:t>
      </w:r>
      <w:proofErr w:type="spellEnd"/>
      <w:r w:rsidRPr="00B1651A">
        <w:rPr>
          <w:rFonts w:asciiTheme="majorHAnsi" w:hAnsiTheme="majorHAnsi"/>
        </w:rPr>
        <w:t>, Emilio Lucio-Villegas</w:t>
      </w:r>
      <w:r w:rsidR="00852445">
        <w:rPr>
          <w:rFonts w:asciiTheme="majorHAnsi" w:hAnsiTheme="majorHAnsi"/>
        </w:rPr>
        <w:t xml:space="preserve">, </w:t>
      </w:r>
      <w:r w:rsidR="00497EB3">
        <w:rPr>
          <w:rFonts w:asciiTheme="majorHAnsi" w:hAnsiTheme="majorHAnsi"/>
        </w:rPr>
        <w:t xml:space="preserve">Andrej Marušić, </w:t>
      </w:r>
      <w:r w:rsidR="00120C57">
        <w:rPr>
          <w:rFonts w:asciiTheme="majorHAnsi" w:hAnsiTheme="majorHAnsi"/>
        </w:rPr>
        <w:t xml:space="preserve">Petra Katana, </w:t>
      </w:r>
      <w:proofErr w:type="spellStart"/>
      <w:r w:rsidR="00497EB3">
        <w:rPr>
          <w:rFonts w:asciiTheme="majorHAnsi" w:hAnsiTheme="majorHAnsi"/>
        </w:rPr>
        <w:t>Antonela</w:t>
      </w:r>
      <w:proofErr w:type="spellEnd"/>
      <w:r w:rsidR="00497EB3">
        <w:rPr>
          <w:rFonts w:asciiTheme="majorHAnsi" w:hAnsiTheme="majorHAnsi"/>
        </w:rPr>
        <w:t xml:space="preserve"> </w:t>
      </w:r>
      <w:proofErr w:type="spellStart"/>
      <w:r w:rsidR="00497EB3">
        <w:rPr>
          <w:rFonts w:asciiTheme="majorHAnsi" w:hAnsiTheme="majorHAnsi"/>
        </w:rPr>
        <w:t>Marjanušić</w:t>
      </w:r>
      <w:proofErr w:type="spellEnd"/>
    </w:p>
    <w:p w:rsidR="00B1651A" w:rsidRPr="00B1651A" w:rsidRDefault="00B1651A" w:rsidP="00DB398E">
      <w:pPr>
        <w:rPr>
          <w:rFonts w:asciiTheme="majorHAnsi" w:hAnsiTheme="majorHAnsi"/>
        </w:rPr>
      </w:pPr>
    </w:p>
    <w:p w:rsidR="00B1651A" w:rsidRPr="00B1651A" w:rsidRDefault="00B1651A" w:rsidP="00DB398E">
      <w:pPr>
        <w:rPr>
          <w:rFonts w:asciiTheme="majorHAnsi" w:hAnsiTheme="majorHAnsi"/>
          <w:b/>
        </w:rPr>
      </w:pPr>
      <w:r w:rsidRPr="009276AF">
        <w:rPr>
          <w:rFonts w:asciiTheme="majorHAnsi" w:hAnsiTheme="majorHAnsi"/>
          <w:b/>
        </w:rPr>
        <w:t>Conference website</w:t>
      </w:r>
    </w:p>
    <w:p w:rsidR="00B1651A" w:rsidRPr="00B1651A" w:rsidRDefault="00B1651A" w:rsidP="00DB398E">
      <w:pPr>
        <w:rPr>
          <w:rFonts w:asciiTheme="majorHAnsi" w:hAnsiTheme="majorHAnsi"/>
        </w:rPr>
      </w:pPr>
      <w:r w:rsidRPr="00B1651A">
        <w:rPr>
          <w:rFonts w:asciiTheme="majorHAnsi" w:hAnsiTheme="majorHAnsi"/>
        </w:rPr>
        <w:t xml:space="preserve"> </w:t>
      </w:r>
      <w:hyperlink r:id="rId11" w:history="1">
        <w:r w:rsidR="009276AF" w:rsidRPr="005B4218">
          <w:rPr>
            <w:rStyle w:val="Hiperhivatkozs"/>
            <w:rFonts w:asciiTheme="majorHAnsi" w:hAnsiTheme="majorHAnsi"/>
          </w:rPr>
          <w:t>http://www.dante-ri.hr/</w:t>
        </w:r>
      </w:hyperlink>
      <w:r w:rsidR="009276AF">
        <w:rPr>
          <w:rFonts w:asciiTheme="majorHAnsi" w:hAnsiTheme="majorHAnsi"/>
        </w:rPr>
        <w:t xml:space="preserve"> </w:t>
      </w:r>
    </w:p>
    <w:p w:rsidR="009A6B2F" w:rsidRDefault="009A6B2F" w:rsidP="00354B7C">
      <w:pPr>
        <w:rPr>
          <w:rFonts w:asciiTheme="majorHAnsi" w:hAnsiTheme="majorHAnsi"/>
        </w:rPr>
      </w:pPr>
    </w:p>
    <w:sectPr w:rsidR="009A6B2F" w:rsidSect="00007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Bold">
    <w:panose1 w:val="00000000000000000000"/>
    <w:charset w:val="EE"/>
    <w:family w:val="auto"/>
    <w:notTrueType/>
    <w:pitch w:val="default"/>
    <w:sig w:usb0="00000005" w:usb1="00000000" w:usb2="00000000" w:usb3="00000000" w:csb0="00000002" w:csb1="00000000"/>
  </w:font>
  <w:font w:name="AkzidenzGroteskSN-Black">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0CE"/>
    <w:multiLevelType w:val="hybridMultilevel"/>
    <w:tmpl w:val="1924E2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87A6027"/>
    <w:multiLevelType w:val="hybridMultilevel"/>
    <w:tmpl w:val="CA802448"/>
    <w:lvl w:ilvl="0" w:tplc="85DCCAC0">
      <w:start w:val="1"/>
      <w:numFmt w:val="bullet"/>
      <w:lvlText w:val="-"/>
      <w:lvlJc w:val="left"/>
      <w:pPr>
        <w:ind w:left="720" w:hanging="360"/>
      </w:pPr>
      <w:rPr>
        <w:rFonts w:ascii="Calibri" w:eastAsia="TimesNewRomanPSMT"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4365"/>
    <w:multiLevelType w:val="hybridMultilevel"/>
    <w:tmpl w:val="53B6CF52"/>
    <w:lvl w:ilvl="0" w:tplc="1782236C">
      <w:start w:val="1"/>
      <w:numFmt w:val="decimal"/>
      <w:lvlText w:val="%1."/>
      <w:lvlJc w:val="left"/>
      <w:pPr>
        <w:ind w:left="960" w:hanging="60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B65C38"/>
    <w:multiLevelType w:val="hybridMultilevel"/>
    <w:tmpl w:val="2E888DE2"/>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CC1CD2"/>
    <w:multiLevelType w:val="hybridMultilevel"/>
    <w:tmpl w:val="58F28D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D7506"/>
    <w:multiLevelType w:val="hybridMultilevel"/>
    <w:tmpl w:val="B67C250E"/>
    <w:lvl w:ilvl="0" w:tplc="7BA6F362">
      <w:start w:val="1"/>
      <w:numFmt w:val="decimal"/>
      <w:lvlText w:val="%1)"/>
      <w:lvlJc w:val="left"/>
      <w:pPr>
        <w:ind w:left="720" w:hanging="360"/>
      </w:pPr>
      <w:rPr>
        <w:rFonts w:cs="Helvetica"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176229"/>
    <w:multiLevelType w:val="hybridMultilevel"/>
    <w:tmpl w:val="58B2248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5644A7"/>
    <w:multiLevelType w:val="hybridMultilevel"/>
    <w:tmpl w:val="D5A487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D82C3A"/>
    <w:multiLevelType w:val="hybridMultilevel"/>
    <w:tmpl w:val="4DBEF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585158"/>
    <w:multiLevelType w:val="hybridMultilevel"/>
    <w:tmpl w:val="B9F44A5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43F95C07"/>
    <w:multiLevelType w:val="hybridMultilevel"/>
    <w:tmpl w:val="89FCEB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A10537"/>
    <w:multiLevelType w:val="hybridMultilevel"/>
    <w:tmpl w:val="79288E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A945048"/>
    <w:multiLevelType w:val="multilevel"/>
    <w:tmpl w:val="5EDC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47A04"/>
    <w:multiLevelType w:val="hybridMultilevel"/>
    <w:tmpl w:val="52201F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6D283E"/>
    <w:multiLevelType w:val="hybridMultilevel"/>
    <w:tmpl w:val="669E4E04"/>
    <w:lvl w:ilvl="0" w:tplc="25045708">
      <w:start w:val="1"/>
      <w:numFmt w:val="decimal"/>
      <w:lvlText w:val="%1)"/>
      <w:lvlJc w:val="left"/>
      <w:pPr>
        <w:ind w:left="720" w:hanging="360"/>
      </w:pPr>
      <w:rPr>
        <w:rFonts w:ascii="Helvetica" w:hAnsi="Helvetica" w:cs="Helvetica"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AD2E6D"/>
    <w:multiLevelType w:val="hybridMultilevel"/>
    <w:tmpl w:val="E70899B0"/>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4A1956"/>
    <w:multiLevelType w:val="hybridMultilevel"/>
    <w:tmpl w:val="54C6C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DAF3FED"/>
    <w:multiLevelType w:val="hybridMultilevel"/>
    <w:tmpl w:val="75ACE4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628E382E"/>
    <w:multiLevelType w:val="hybridMultilevel"/>
    <w:tmpl w:val="03F2D3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36036FE"/>
    <w:multiLevelType w:val="hybridMultilevel"/>
    <w:tmpl w:val="91DC1FCE"/>
    <w:lvl w:ilvl="0" w:tplc="3FA284C8">
      <w:start w:val="1"/>
      <w:numFmt w:val="decimal"/>
      <w:lvlText w:val="%1."/>
      <w:lvlJc w:val="left"/>
      <w:pPr>
        <w:ind w:left="720" w:hanging="360"/>
      </w:pPr>
      <w:rPr>
        <w:rFonts w:cs="Helvetica"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247FE3"/>
    <w:multiLevelType w:val="hybridMultilevel"/>
    <w:tmpl w:val="1C703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A61E04"/>
    <w:multiLevelType w:val="hybridMultilevel"/>
    <w:tmpl w:val="6EDED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8B3655"/>
    <w:multiLevelType w:val="hybridMultilevel"/>
    <w:tmpl w:val="200CC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
  </w:num>
  <w:num w:numId="4">
    <w:abstractNumId w:val="3"/>
  </w:num>
  <w:num w:numId="5">
    <w:abstractNumId w:val="15"/>
  </w:num>
  <w:num w:numId="6">
    <w:abstractNumId w:val="19"/>
  </w:num>
  <w:num w:numId="7">
    <w:abstractNumId w:val="7"/>
  </w:num>
  <w:num w:numId="8">
    <w:abstractNumId w:val="8"/>
  </w:num>
  <w:num w:numId="9">
    <w:abstractNumId w:val="10"/>
  </w:num>
  <w:num w:numId="10">
    <w:abstractNumId w:val="17"/>
  </w:num>
  <w:num w:numId="11">
    <w:abstractNumId w:val="0"/>
  </w:num>
  <w:num w:numId="12">
    <w:abstractNumId w:val="11"/>
  </w:num>
  <w:num w:numId="13">
    <w:abstractNumId w:val="18"/>
  </w:num>
  <w:num w:numId="14">
    <w:abstractNumId w:val="20"/>
  </w:num>
  <w:num w:numId="15">
    <w:abstractNumId w:val="6"/>
  </w:num>
  <w:num w:numId="16">
    <w:abstractNumId w:val="1"/>
  </w:num>
  <w:num w:numId="17">
    <w:abstractNumId w:val="9"/>
  </w:num>
  <w:num w:numId="18">
    <w:abstractNumId w:val="13"/>
  </w:num>
  <w:num w:numId="19">
    <w:abstractNumId w:val="12"/>
  </w:num>
  <w:num w:numId="20">
    <w:abstractNumId w:val="21"/>
  </w:num>
  <w:num w:numId="21">
    <w:abstractNumId w:val="4"/>
  </w:num>
  <w:num w:numId="22">
    <w:abstractNumId w:val="16"/>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B"/>
    <w:rsid w:val="00006339"/>
    <w:rsid w:val="00007A1C"/>
    <w:rsid w:val="00010FB8"/>
    <w:rsid w:val="00011DCD"/>
    <w:rsid w:val="00036D79"/>
    <w:rsid w:val="000426A8"/>
    <w:rsid w:val="0007096F"/>
    <w:rsid w:val="000A75FA"/>
    <w:rsid w:val="000B718F"/>
    <w:rsid w:val="000C2BCA"/>
    <w:rsid w:val="000E3216"/>
    <w:rsid w:val="00100818"/>
    <w:rsid w:val="001034CA"/>
    <w:rsid w:val="00120C57"/>
    <w:rsid w:val="001366E7"/>
    <w:rsid w:val="001579A2"/>
    <w:rsid w:val="0017166D"/>
    <w:rsid w:val="00190553"/>
    <w:rsid w:val="001A0070"/>
    <w:rsid w:val="001A0188"/>
    <w:rsid w:val="001A23FE"/>
    <w:rsid w:val="001B37DF"/>
    <w:rsid w:val="001B4EAF"/>
    <w:rsid w:val="001B51DA"/>
    <w:rsid w:val="001C0675"/>
    <w:rsid w:val="001C2BE8"/>
    <w:rsid w:val="001D0434"/>
    <w:rsid w:val="001D2924"/>
    <w:rsid w:val="001D3A14"/>
    <w:rsid w:val="001E7358"/>
    <w:rsid w:val="001F5B2A"/>
    <w:rsid w:val="002015E5"/>
    <w:rsid w:val="002158F6"/>
    <w:rsid w:val="0021625E"/>
    <w:rsid w:val="00216E6A"/>
    <w:rsid w:val="002275C4"/>
    <w:rsid w:val="00230884"/>
    <w:rsid w:val="00247AB9"/>
    <w:rsid w:val="00262679"/>
    <w:rsid w:val="002907DB"/>
    <w:rsid w:val="002A41D0"/>
    <w:rsid w:val="002B37DD"/>
    <w:rsid w:val="002C2E4D"/>
    <w:rsid w:val="002D005D"/>
    <w:rsid w:val="002E2484"/>
    <w:rsid w:val="002F76AF"/>
    <w:rsid w:val="00307138"/>
    <w:rsid w:val="00307E59"/>
    <w:rsid w:val="00313D0C"/>
    <w:rsid w:val="00322404"/>
    <w:rsid w:val="00337BE1"/>
    <w:rsid w:val="00352280"/>
    <w:rsid w:val="00354B7C"/>
    <w:rsid w:val="00357DB7"/>
    <w:rsid w:val="003735E2"/>
    <w:rsid w:val="00373E48"/>
    <w:rsid w:val="0038123C"/>
    <w:rsid w:val="00383584"/>
    <w:rsid w:val="0039596B"/>
    <w:rsid w:val="003978B1"/>
    <w:rsid w:val="003A6029"/>
    <w:rsid w:val="003A7E75"/>
    <w:rsid w:val="003D79B8"/>
    <w:rsid w:val="003E569A"/>
    <w:rsid w:val="003E7248"/>
    <w:rsid w:val="003F3026"/>
    <w:rsid w:val="00412058"/>
    <w:rsid w:val="00414492"/>
    <w:rsid w:val="00432E28"/>
    <w:rsid w:val="00444D34"/>
    <w:rsid w:val="00465CCE"/>
    <w:rsid w:val="0047003C"/>
    <w:rsid w:val="00471055"/>
    <w:rsid w:val="00472E6A"/>
    <w:rsid w:val="00474D18"/>
    <w:rsid w:val="004769F3"/>
    <w:rsid w:val="00477349"/>
    <w:rsid w:val="00477407"/>
    <w:rsid w:val="00481C4F"/>
    <w:rsid w:val="00497EB3"/>
    <w:rsid w:val="004A0148"/>
    <w:rsid w:val="004A241F"/>
    <w:rsid w:val="004A4B66"/>
    <w:rsid w:val="004C73A1"/>
    <w:rsid w:val="004D1446"/>
    <w:rsid w:val="0050271C"/>
    <w:rsid w:val="005043A0"/>
    <w:rsid w:val="00505D9A"/>
    <w:rsid w:val="00517EE0"/>
    <w:rsid w:val="005204A2"/>
    <w:rsid w:val="00531000"/>
    <w:rsid w:val="00551596"/>
    <w:rsid w:val="00553382"/>
    <w:rsid w:val="00553942"/>
    <w:rsid w:val="00554A6D"/>
    <w:rsid w:val="005628EE"/>
    <w:rsid w:val="00582C18"/>
    <w:rsid w:val="00595F9C"/>
    <w:rsid w:val="005A2DC0"/>
    <w:rsid w:val="005A6F7C"/>
    <w:rsid w:val="005C2E81"/>
    <w:rsid w:val="005C52D7"/>
    <w:rsid w:val="005D7383"/>
    <w:rsid w:val="005E7AF5"/>
    <w:rsid w:val="005F259A"/>
    <w:rsid w:val="005F4AD6"/>
    <w:rsid w:val="006016D9"/>
    <w:rsid w:val="006177DF"/>
    <w:rsid w:val="00623836"/>
    <w:rsid w:val="00631878"/>
    <w:rsid w:val="006466AA"/>
    <w:rsid w:val="00655BDB"/>
    <w:rsid w:val="00681773"/>
    <w:rsid w:val="0069775F"/>
    <w:rsid w:val="006E5857"/>
    <w:rsid w:val="0070053C"/>
    <w:rsid w:val="00700DCC"/>
    <w:rsid w:val="00705468"/>
    <w:rsid w:val="0071134F"/>
    <w:rsid w:val="00715F55"/>
    <w:rsid w:val="00727ED9"/>
    <w:rsid w:val="0075511A"/>
    <w:rsid w:val="0075706B"/>
    <w:rsid w:val="00781261"/>
    <w:rsid w:val="007927D5"/>
    <w:rsid w:val="0079381D"/>
    <w:rsid w:val="007A1A92"/>
    <w:rsid w:val="007C3CE6"/>
    <w:rsid w:val="007C7C28"/>
    <w:rsid w:val="007E214C"/>
    <w:rsid w:val="007E73A1"/>
    <w:rsid w:val="008011F6"/>
    <w:rsid w:val="008041F3"/>
    <w:rsid w:val="00805E88"/>
    <w:rsid w:val="00810022"/>
    <w:rsid w:val="00815980"/>
    <w:rsid w:val="00816FBE"/>
    <w:rsid w:val="00823104"/>
    <w:rsid w:val="0082762E"/>
    <w:rsid w:val="00830AFF"/>
    <w:rsid w:val="0083333B"/>
    <w:rsid w:val="00835157"/>
    <w:rsid w:val="00844F7B"/>
    <w:rsid w:val="00852445"/>
    <w:rsid w:val="00856854"/>
    <w:rsid w:val="00886837"/>
    <w:rsid w:val="008966AD"/>
    <w:rsid w:val="008A15AC"/>
    <w:rsid w:val="008A53F7"/>
    <w:rsid w:val="008A7C75"/>
    <w:rsid w:val="008C274D"/>
    <w:rsid w:val="008C68F3"/>
    <w:rsid w:val="008D306B"/>
    <w:rsid w:val="008E718A"/>
    <w:rsid w:val="008F2775"/>
    <w:rsid w:val="008F2F8D"/>
    <w:rsid w:val="0090224B"/>
    <w:rsid w:val="0091721E"/>
    <w:rsid w:val="009267D4"/>
    <w:rsid w:val="009276AF"/>
    <w:rsid w:val="00952A54"/>
    <w:rsid w:val="00952E1F"/>
    <w:rsid w:val="00952E89"/>
    <w:rsid w:val="00961E52"/>
    <w:rsid w:val="00983CCF"/>
    <w:rsid w:val="009A6B2F"/>
    <w:rsid w:val="009C4C2E"/>
    <w:rsid w:val="009F3A47"/>
    <w:rsid w:val="00A01269"/>
    <w:rsid w:val="00A05F38"/>
    <w:rsid w:val="00A0618C"/>
    <w:rsid w:val="00A07790"/>
    <w:rsid w:val="00A16C30"/>
    <w:rsid w:val="00A218BD"/>
    <w:rsid w:val="00A41872"/>
    <w:rsid w:val="00A4447A"/>
    <w:rsid w:val="00A54208"/>
    <w:rsid w:val="00A61BAE"/>
    <w:rsid w:val="00A75D6E"/>
    <w:rsid w:val="00A84A8A"/>
    <w:rsid w:val="00AA0E7E"/>
    <w:rsid w:val="00AA11ED"/>
    <w:rsid w:val="00AC300F"/>
    <w:rsid w:val="00B05094"/>
    <w:rsid w:val="00B1651A"/>
    <w:rsid w:val="00B31A3F"/>
    <w:rsid w:val="00B41402"/>
    <w:rsid w:val="00B53827"/>
    <w:rsid w:val="00B5571F"/>
    <w:rsid w:val="00B6168D"/>
    <w:rsid w:val="00B64A34"/>
    <w:rsid w:val="00B67120"/>
    <w:rsid w:val="00B70FFD"/>
    <w:rsid w:val="00B71C03"/>
    <w:rsid w:val="00B91D91"/>
    <w:rsid w:val="00BB1BB4"/>
    <w:rsid w:val="00BB6C45"/>
    <w:rsid w:val="00BE265E"/>
    <w:rsid w:val="00BF65CB"/>
    <w:rsid w:val="00C052BC"/>
    <w:rsid w:val="00C073C7"/>
    <w:rsid w:val="00C123B6"/>
    <w:rsid w:val="00C36B10"/>
    <w:rsid w:val="00C376EF"/>
    <w:rsid w:val="00C46503"/>
    <w:rsid w:val="00C466B9"/>
    <w:rsid w:val="00C47659"/>
    <w:rsid w:val="00C56052"/>
    <w:rsid w:val="00C562C9"/>
    <w:rsid w:val="00C664BF"/>
    <w:rsid w:val="00C701A3"/>
    <w:rsid w:val="00C71EC8"/>
    <w:rsid w:val="00C73D9B"/>
    <w:rsid w:val="00C75025"/>
    <w:rsid w:val="00C75969"/>
    <w:rsid w:val="00C802C6"/>
    <w:rsid w:val="00C804C1"/>
    <w:rsid w:val="00C808E9"/>
    <w:rsid w:val="00C82176"/>
    <w:rsid w:val="00C96D63"/>
    <w:rsid w:val="00C96F7F"/>
    <w:rsid w:val="00CA1B6F"/>
    <w:rsid w:val="00CA4C2C"/>
    <w:rsid w:val="00CB4D0A"/>
    <w:rsid w:val="00CC78F7"/>
    <w:rsid w:val="00CD3582"/>
    <w:rsid w:val="00CE3DE2"/>
    <w:rsid w:val="00CF0492"/>
    <w:rsid w:val="00CF36D8"/>
    <w:rsid w:val="00CF523E"/>
    <w:rsid w:val="00CF7494"/>
    <w:rsid w:val="00D0438F"/>
    <w:rsid w:val="00D14D3B"/>
    <w:rsid w:val="00D45000"/>
    <w:rsid w:val="00D532F4"/>
    <w:rsid w:val="00D535F2"/>
    <w:rsid w:val="00D6305A"/>
    <w:rsid w:val="00D74E0F"/>
    <w:rsid w:val="00D77004"/>
    <w:rsid w:val="00D85BA4"/>
    <w:rsid w:val="00D86A9B"/>
    <w:rsid w:val="00DA312F"/>
    <w:rsid w:val="00DB398E"/>
    <w:rsid w:val="00DC29E1"/>
    <w:rsid w:val="00DD7AED"/>
    <w:rsid w:val="00DE2276"/>
    <w:rsid w:val="00DE327D"/>
    <w:rsid w:val="00DF2E54"/>
    <w:rsid w:val="00E00505"/>
    <w:rsid w:val="00E060DA"/>
    <w:rsid w:val="00E07CB3"/>
    <w:rsid w:val="00E24472"/>
    <w:rsid w:val="00E24C4A"/>
    <w:rsid w:val="00E31A47"/>
    <w:rsid w:val="00E42350"/>
    <w:rsid w:val="00E457A9"/>
    <w:rsid w:val="00E4703D"/>
    <w:rsid w:val="00E50812"/>
    <w:rsid w:val="00E560A4"/>
    <w:rsid w:val="00E5693B"/>
    <w:rsid w:val="00E63454"/>
    <w:rsid w:val="00E7267C"/>
    <w:rsid w:val="00E739CF"/>
    <w:rsid w:val="00E76191"/>
    <w:rsid w:val="00E81969"/>
    <w:rsid w:val="00E856F9"/>
    <w:rsid w:val="00E86AB7"/>
    <w:rsid w:val="00E86E6A"/>
    <w:rsid w:val="00E95C37"/>
    <w:rsid w:val="00E97FDA"/>
    <w:rsid w:val="00EB2792"/>
    <w:rsid w:val="00EC6787"/>
    <w:rsid w:val="00ED180F"/>
    <w:rsid w:val="00ED7E4F"/>
    <w:rsid w:val="00F0198B"/>
    <w:rsid w:val="00F0526F"/>
    <w:rsid w:val="00F103A3"/>
    <w:rsid w:val="00F106CF"/>
    <w:rsid w:val="00F10C49"/>
    <w:rsid w:val="00F15587"/>
    <w:rsid w:val="00F245B8"/>
    <w:rsid w:val="00F4230F"/>
    <w:rsid w:val="00F5357E"/>
    <w:rsid w:val="00F55F3E"/>
    <w:rsid w:val="00F645A5"/>
    <w:rsid w:val="00F66DB5"/>
    <w:rsid w:val="00F7318B"/>
    <w:rsid w:val="00F84A70"/>
    <w:rsid w:val="00F931D5"/>
    <w:rsid w:val="00FB532E"/>
    <w:rsid w:val="00FB7F70"/>
    <w:rsid w:val="00FC5FA1"/>
    <w:rsid w:val="00FC6FC5"/>
    <w:rsid w:val="00FD2815"/>
    <w:rsid w:val="00FD70CF"/>
    <w:rsid w:val="00FF0E39"/>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8E07-CA8C-42AB-89E6-CA20EAE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66B9"/>
    <w:pPr>
      <w:spacing w:after="0" w:line="240" w:lineRule="auto"/>
      <w:jc w:val="both"/>
    </w:pPr>
    <w:rPr>
      <w:rFonts w:ascii="Times New Roman" w:hAnsi="Times New Roman"/>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55BDB"/>
    <w:rPr>
      <w:rFonts w:ascii="Tahoma" w:hAnsi="Tahoma" w:cs="Tahoma"/>
      <w:sz w:val="16"/>
      <w:szCs w:val="16"/>
    </w:rPr>
  </w:style>
  <w:style w:type="character" w:customStyle="1" w:styleId="BuborkszvegChar">
    <w:name w:val="Buborékszöveg Char"/>
    <w:basedOn w:val="Bekezdsalapbettpusa"/>
    <w:link w:val="Buborkszveg"/>
    <w:uiPriority w:val="99"/>
    <w:semiHidden/>
    <w:rsid w:val="00655BDB"/>
    <w:rPr>
      <w:rFonts w:ascii="Tahoma" w:hAnsi="Tahoma" w:cs="Tahoma"/>
      <w:sz w:val="16"/>
      <w:szCs w:val="16"/>
    </w:rPr>
  </w:style>
  <w:style w:type="paragraph" w:styleId="Listaszerbekezds">
    <w:name w:val="List Paragraph"/>
    <w:basedOn w:val="Norml"/>
    <w:uiPriority w:val="34"/>
    <w:qFormat/>
    <w:rsid w:val="00477349"/>
    <w:pPr>
      <w:ind w:left="720"/>
      <w:contextualSpacing/>
    </w:pPr>
  </w:style>
  <w:style w:type="character" w:styleId="Hiperhivatkozs">
    <w:name w:val="Hyperlink"/>
    <w:basedOn w:val="Bekezdsalapbettpusa"/>
    <w:uiPriority w:val="99"/>
    <w:unhideWhenUsed/>
    <w:rsid w:val="00477349"/>
    <w:rPr>
      <w:color w:val="0000FF" w:themeColor="hyperlink"/>
      <w:u w:val="single"/>
    </w:rPr>
  </w:style>
  <w:style w:type="table" w:styleId="Rcsostblzat">
    <w:name w:val="Table Grid"/>
    <w:basedOn w:val="Normltblzat"/>
    <w:uiPriority w:val="59"/>
    <w:rsid w:val="00517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gyzethivatkozs">
    <w:name w:val="annotation reference"/>
    <w:basedOn w:val="Bekezdsalapbettpusa"/>
    <w:uiPriority w:val="99"/>
    <w:semiHidden/>
    <w:unhideWhenUsed/>
    <w:rsid w:val="00E00505"/>
    <w:rPr>
      <w:sz w:val="16"/>
      <w:szCs w:val="16"/>
    </w:rPr>
  </w:style>
  <w:style w:type="paragraph" w:styleId="Jegyzetszveg">
    <w:name w:val="annotation text"/>
    <w:basedOn w:val="Norml"/>
    <w:link w:val="JegyzetszvegChar"/>
    <w:uiPriority w:val="99"/>
    <w:semiHidden/>
    <w:unhideWhenUsed/>
    <w:rsid w:val="00E00505"/>
    <w:rPr>
      <w:sz w:val="20"/>
      <w:szCs w:val="20"/>
    </w:rPr>
  </w:style>
  <w:style w:type="character" w:customStyle="1" w:styleId="JegyzetszvegChar">
    <w:name w:val="Jegyzetszöveg Char"/>
    <w:basedOn w:val="Bekezdsalapbettpusa"/>
    <w:link w:val="Jegyzetszveg"/>
    <w:uiPriority w:val="99"/>
    <w:semiHidden/>
    <w:rsid w:val="00E0050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E00505"/>
    <w:rPr>
      <w:b/>
      <w:bCs/>
    </w:rPr>
  </w:style>
  <w:style w:type="character" w:customStyle="1" w:styleId="MegjegyzstrgyaChar">
    <w:name w:val="Megjegyzés tárgya Char"/>
    <w:basedOn w:val="JegyzetszvegChar"/>
    <w:link w:val="Megjegyzstrgya"/>
    <w:uiPriority w:val="99"/>
    <w:semiHidden/>
    <w:rsid w:val="00E0050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884">
      <w:bodyDiv w:val="1"/>
      <w:marLeft w:val="0"/>
      <w:marRight w:val="0"/>
      <w:marTop w:val="0"/>
      <w:marBottom w:val="0"/>
      <w:divBdr>
        <w:top w:val="none" w:sz="0" w:space="0" w:color="auto"/>
        <w:left w:val="none" w:sz="0" w:space="0" w:color="auto"/>
        <w:bottom w:val="none" w:sz="0" w:space="0" w:color="auto"/>
        <w:right w:val="none" w:sz="0" w:space="0" w:color="auto"/>
      </w:divBdr>
    </w:div>
    <w:div w:id="451293674">
      <w:bodyDiv w:val="1"/>
      <w:marLeft w:val="0"/>
      <w:marRight w:val="0"/>
      <w:marTop w:val="0"/>
      <w:marBottom w:val="0"/>
      <w:divBdr>
        <w:top w:val="none" w:sz="0" w:space="0" w:color="auto"/>
        <w:left w:val="none" w:sz="0" w:space="0" w:color="auto"/>
        <w:bottom w:val="none" w:sz="0" w:space="0" w:color="auto"/>
        <w:right w:val="none" w:sz="0" w:space="0" w:color="auto"/>
      </w:divBdr>
    </w:div>
    <w:div w:id="562062912">
      <w:bodyDiv w:val="1"/>
      <w:marLeft w:val="0"/>
      <w:marRight w:val="0"/>
      <w:marTop w:val="0"/>
      <w:marBottom w:val="0"/>
      <w:divBdr>
        <w:top w:val="none" w:sz="0" w:space="0" w:color="auto"/>
        <w:left w:val="none" w:sz="0" w:space="0" w:color="auto"/>
        <w:bottom w:val="none" w:sz="0" w:space="0" w:color="auto"/>
        <w:right w:val="none" w:sz="0" w:space="0" w:color="auto"/>
      </w:divBdr>
    </w:div>
    <w:div w:id="1164541414">
      <w:bodyDiv w:val="1"/>
      <w:marLeft w:val="0"/>
      <w:marRight w:val="0"/>
      <w:marTop w:val="0"/>
      <w:marBottom w:val="0"/>
      <w:divBdr>
        <w:top w:val="none" w:sz="0" w:space="0" w:color="auto"/>
        <w:left w:val="none" w:sz="0" w:space="0" w:color="auto"/>
        <w:bottom w:val="none" w:sz="0" w:space="0" w:color="auto"/>
        <w:right w:val="none" w:sz="0" w:space="0" w:color="auto"/>
      </w:divBdr>
    </w:div>
    <w:div w:id="1628274356">
      <w:bodyDiv w:val="1"/>
      <w:marLeft w:val="0"/>
      <w:marRight w:val="0"/>
      <w:marTop w:val="0"/>
      <w:marBottom w:val="0"/>
      <w:divBdr>
        <w:top w:val="none" w:sz="0" w:space="0" w:color="auto"/>
        <w:left w:val="none" w:sz="0" w:space="0" w:color="auto"/>
        <w:bottom w:val="none" w:sz="0" w:space="0" w:color="auto"/>
        <w:right w:val="none" w:sz="0" w:space="0" w:color="auto"/>
      </w:divBdr>
      <w:divsChild>
        <w:div w:id="363596893">
          <w:marLeft w:val="0"/>
          <w:marRight w:val="0"/>
          <w:marTop w:val="0"/>
          <w:marBottom w:val="0"/>
          <w:divBdr>
            <w:top w:val="none" w:sz="0" w:space="0" w:color="auto"/>
            <w:left w:val="none" w:sz="0" w:space="0" w:color="auto"/>
            <w:bottom w:val="none" w:sz="0" w:space="0" w:color="auto"/>
            <w:right w:val="none" w:sz="0" w:space="0" w:color="auto"/>
          </w:divBdr>
        </w:div>
        <w:div w:id="1531607948">
          <w:marLeft w:val="0"/>
          <w:marRight w:val="0"/>
          <w:marTop w:val="0"/>
          <w:marBottom w:val="0"/>
          <w:divBdr>
            <w:top w:val="none" w:sz="0" w:space="0" w:color="auto"/>
            <w:left w:val="none" w:sz="0" w:space="0" w:color="auto"/>
            <w:bottom w:val="none" w:sz="0" w:space="0" w:color="auto"/>
            <w:right w:val="none" w:sz="0" w:space="0" w:color="auto"/>
          </w:divBdr>
        </w:div>
        <w:div w:id="156980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ea.dan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rea.dant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ante-ri.hr/" TargetMode="External"/><Relationship Id="rId5" Type="http://schemas.openxmlformats.org/officeDocument/2006/relationships/image" Target="media/image1.jpeg"/><Relationship Id="rId10" Type="http://schemas.openxmlformats.org/officeDocument/2006/relationships/hyperlink" Target="mailto:robert.aman@liu.se" TargetMode="External"/><Relationship Id="rId4" Type="http://schemas.openxmlformats.org/officeDocument/2006/relationships/webSettings" Target="webSettings.xml"/><Relationship Id="rId9" Type="http://schemas.openxmlformats.org/officeDocument/2006/relationships/hyperlink" Target="mailto:esrea.dan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8756</Characters>
  <Application>Microsoft Office Word</Application>
  <DocSecurity>0</DocSecurity>
  <Lines>72</Lines>
  <Paragraphs>20</Paragraphs>
  <ScaleCrop>false</ScaleCrop>
  <HeadingPairs>
    <vt:vector size="6" baseType="variant">
      <vt:variant>
        <vt:lpstr>Cím</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Justic</dc:creator>
  <cp:lastModifiedBy>kpvk</cp:lastModifiedBy>
  <cp:revision>2</cp:revision>
  <cp:lastPrinted>2017-03-23T11:05:00Z</cp:lastPrinted>
  <dcterms:created xsi:type="dcterms:W3CDTF">2017-11-09T18:12:00Z</dcterms:created>
  <dcterms:modified xsi:type="dcterms:W3CDTF">2017-11-09T18:12:00Z</dcterms:modified>
</cp:coreProperties>
</file>