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AB5" w:rsidRPr="00DB1DFA" w:rsidRDefault="00D00AB5" w:rsidP="007C0C69">
      <w:pPr>
        <w:spacing w:after="0" w:line="360" w:lineRule="auto"/>
        <w:jc w:val="center"/>
        <w:rPr>
          <w:b/>
          <w:i/>
          <w:sz w:val="24"/>
        </w:rPr>
      </w:pPr>
      <w:bookmarkStart w:id="0" w:name="_GoBack"/>
      <w:bookmarkEnd w:id="0"/>
      <w:r w:rsidRPr="00DB1DFA">
        <w:rPr>
          <w:b/>
          <w:i/>
          <w:sz w:val="24"/>
        </w:rPr>
        <w:t xml:space="preserve">A nemtudás mint erőforrás </w:t>
      </w:r>
    </w:p>
    <w:p w:rsidR="00AD7902" w:rsidRDefault="00AD7902" w:rsidP="007C0C69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94B02">
        <w:rPr>
          <w:rFonts w:cstheme="minorHAnsi"/>
          <w:b/>
          <w:bCs/>
          <w:sz w:val="24"/>
          <w:szCs w:val="24"/>
        </w:rPr>
        <w:t xml:space="preserve">IV. Tanulás, tudás, innováció </w:t>
      </w:r>
      <w:r>
        <w:rPr>
          <w:rFonts w:cstheme="minorHAnsi"/>
          <w:b/>
          <w:bCs/>
          <w:sz w:val="24"/>
          <w:szCs w:val="24"/>
        </w:rPr>
        <w:t xml:space="preserve">2018’ </w:t>
      </w:r>
      <w:r w:rsidRPr="00894B02">
        <w:rPr>
          <w:rFonts w:cstheme="minorHAnsi"/>
          <w:b/>
          <w:bCs/>
          <w:sz w:val="24"/>
          <w:szCs w:val="24"/>
        </w:rPr>
        <w:t xml:space="preserve">Konferencia </w:t>
      </w:r>
    </w:p>
    <w:p w:rsidR="00AD7902" w:rsidRPr="007C7F86" w:rsidRDefault="00AD7902" w:rsidP="00AD7902">
      <w:pPr>
        <w:spacing w:after="0" w:line="240" w:lineRule="auto"/>
        <w:jc w:val="center"/>
        <w:rPr>
          <w:rFonts w:cstheme="minorHAnsi"/>
          <w:b/>
          <w:bCs/>
          <w:szCs w:val="24"/>
        </w:rPr>
      </w:pPr>
      <w:r w:rsidRPr="007C7F86">
        <w:rPr>
          <w:rFonts w:cstheme="minorHAnsi"/>
          <w:b/>
          <w:bCs/>
          <w:szCs w:val="24"/>
        </w:rPr>
        <w:t>2018. május 4., péntek 9.30-1</w:t>
      </w:r>
      <w:r w:rsidR="00AE1460" w:rsidRPr="007C7F86">
        <w:rPr>
          <w:rFonts w:cstheme="minorHAnsi"/>
          <w:b/>
          <w:bCs/>
          <w:szCs w:val="24"/>
        </w:rPr>
        <w:t>5</w:t>
      </w:r>
      <w:r w:rsidRPr="007C7F86">
        <w:rPr>
          <w:rFonts w:cstheme="minorHAnsi"/>
          <w:b/>
          <w:bCs/>
          <w:szCs w:val="24"/>
        </w:rPr>
        <w:t>.00 óra</w:t>
      </w:r>
    </w:p>
    <w:p w:rsidR="00AD7902" w:rsidRPr="007C7F86" w:rsidRDefault="00AD7902" w:rsidP="00AD7902">
      <w:pPr>
        <w:spacing w:after="0" w:line="240" w:lineRule="auto"/>
        <w:jc w:val="center"/>
        <w:rPr>
          <w:rFonts w:cstheme="minorHAnsi"/>
          <w:bCs/>
          <w:szCs w:val="24"/>
        </w:rPr>
      </w:pPr>
      <w:r w:rsidRPr="007C7F86">
        <w:rPr>
          <w:rFonts w:cstheme="minorHAnsi"/>
          <w:bCs/>
          <w:szCs w:val="24"/>
        </w:rPr>
        <w:t xml:space="preserve">(1075 </w:t>
      </w:r>
      <w:r w:rsidR="00B64D86" w:rsidRPr="007C7F86">
        <w:rPr>
          <w:rFonts w:cstheme="minorHAnsi"/>
          <w:bCs/>
          <w:szCs w:val="24"/>
        </w:rPr>
        <w:t>Budapest Kazinczy u. 23-27.</w:t>
      </w:r>
      <w:r w:rsidRPr="007C7F86">
        <w:rPr>
          <w:rFonts w:cstheme="minorHAnsi"/>
          <w:bCs/>
          <w:szCs w:val="24"/>
        </w:rPr>
        <w:t>)</w:t>
      </w:r>
    </w:p>
    <w:p w:rsidR="00AD7902" w:rsidRPr="007C0C69" w:rsidRDefault="00AD7902" w:rsidP="00AD7902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:rsidR="007C0C69" w:rsidRPr="007C7F86" w:rsidRDefault="00AD7902" w:rsidP="00AD7902">
      <w:pPr>
        <w:spacing w:after="0" w:line="240" w:lineRule="auto"/>
        <w:jc w:val="center"/>
        <w:rPr>
          <w:rFonts w:cstheme="minorHAnsi"/>
          <w:bCs/>
          <w:sz w:val="18"/>
          <w:szCs w:val="24"/>
        </w:rPr>
      </w:pPr>
      <w:r w:rsidRPr="007C7F86">
        <w:rPr>
          <w:rFonts w:cstheme="minorHAnsi"/>
          <w:bCs/>
          <w:sz w:val="18"/>
          <w:szCs w:val="24"/>
        </w:rPr>
        <w:t xml:space="preserve">A konferencia az ELTE </w:t>
      </w:r>
      <w:r w:rsidR="007C0C69" w:rsidRPr="007C7F86">
        <w:rPr>
          <w:rFonts w:cstheme="minorHAnsi"/>
          <w:bCs/>
          <w:sz w:val="18"/>
          <w:szCs w:val="24"/>
        </w:rPr>
        <w:t>Pedagógiai és Pszichológiai Kar</w:t>
      </w:r>
    </w:p>
    <w:p w:rsidR="007C0C69" w:rsidRPr="007C7F86" w:rsidRDefault="00AD7902" w:rsidP="00AD7902">
      <w:pPr>
        <w:spacing w:after="0" w:line="240" w:lineRule="auto"/>
        <w:jc w:val="center"/>
        <w:rPr>
          <w:rFonts w:cstheme="minorHAnsi"/>
          <w:bCs/>
          <w:sz w:val="18"/>
          <w:szCs w:val="24"/>
        </w:rPr>
      </w:pPr>
      <w:r w:rsidRPr="007C7F86">
        <w:rPr>
          <w:rFonts w:cstheme="minorHAnsi"/>
          <w:bCs/>
          <w:sz w:val="18"/>
          <w:szCs w:val="24"/>
        </w:rPr>
        <w:t>Felnőttképzés-kutatá</w:t>
      </w:r>
      <w:r w:rsidR="007C0C69" w:rsidRPr="007C7F86">
        <w:rPr>
          <w:rFonts w:cstheme="minorHAnsi"/>
          <w:bCs/>
          <w:sz w:val="18"/>
          <w:szCs w:val="24"/>
        </w:rPr>
        <w:t>si és Tudásmenedzsment Intézet,</w:t>
      </w:r>
    </w:p>
    <w:p w:rsidR="007C0C69" w:rsidRPr="007C7F86" w:rsidRDefault="00AD7902" w:rsidP="00AD7902">
      <w:pPr>
        <w:spacing w:after="0" w:line="240" w:lineRule="auto"/>
        <w:jc w:val="center"/>
        <w:rPr>
          <w:rFonts w:cstheme="minorHAnsi"/>
          <w:bCs/>
          <w:sz w:val="18"/>
          <w:szCs w:val="24"/>
        </w:rPr>
      </w:pPr>
      <w:r w:rsidRPr="007C7F86">
        <w:rPr>
          <w:rFonts w:cstheme="minorHAnsi"/>
          <w:bCs/>
          <w:sz w:val="18"/>
          <w:szCs w:val="24"/>
        </w:rPr>
        <w:t>a Nemzeti Művelődési Intézet</w:t>
      </w:r>
    </w:p>
    <w:p w:rsidR="00AD7902" w:rsidRPr="007C7F86" w:rsidRDefault="00B64D86" w:rsidP="00AD7902">
      <w:pPr>
        <w:spacing w:after="0" w:line="240" w:lineRule="auto"/>
        <w:jc w:val="center"/>
        <w:rPr>
          <w:rFonts w:cstheme="minorHAnsi"/>
          <w:bCs/>
          <w:sz w:val="18"/>
          <w:szCs w:val="24"/>
        </w:rPr>
      </w:pPr>
      <w:r w:rsidRPr="007C7F86">
        <w:rPr>
          <w:rFonts w:cstheme="minorHAnsi"/>
          <w:bCs/>
          <w:sz w:val="18"/>
          <w:szCs w:val="24"/>
        </w:rPr>
        <w:t xml:space="preserve">és az </w:t>
      </w:r>
      <w:r w:rsidR="00AD7902" w:rsidRPr="007C7F86">
        <w:rPr>
          <w:rFonts w:cstheme="minorHAnsi"/>
          <w:bCs/>
          <w:sz w:val="18"/>
          <w:szCs w:val="24"/>
        </w:rPr>
        <w:t>EPALE Magyarország együttműködésében valósul meg.</w:t>
      </w:r>
    </w:p>
    <w:p w:rsidR="00722158" w:rsidRDefault="00722158" w:rsidP="00DB1DFA">
      <w:pPr>
        <w:spacing w:after="0"/>
        <w:jc w:val="center"/>
        <w:rPr>
          <w:sz w:val="24"/>
          <w:szCs w:val="24"/>
        </w:rPr>
      </w:pPr>
    </w:p>
    <w:p w:rsidR="007C7F86" w:rsidRPr="007C7F86" w:rsidRDefault="007C7F86" w:rsidP="00DB1DFA">
      <w:pPr>
        <w:spacing w:after="80"/>
        <w:jc w:val="both"/>
        <w:rPr>
          <w:bCs/>
          <w:i/>
          <w:sz w:val="20"/>
          <w:szCs w:val="24"/>
        </w:rPr>
      </w:pPr>
      <w:r w:rsidRPr="007C7F86">
        <w:rPr>
          <w:bCs/>
          <w:i/>
          <w:sz w:val="20"/>
          <w:szCs w:val="24"/>
        </w:rPr>
        <w:t xml:space="preserve">Az ELTE PPK Felnőttképzés-kutatási és Tudásmenedzsment Intézet immár negyedig alkalommal rendez országos szakmai konferenciát a felnőttképzés és tudásmenedzsment témában. Az idei, a nemtudás témakörét a középpontba állító konferencia gyakorlatorientált módon közelít a témához és jelentősen épít a gyakorló szakemberek és a mesterszakos hallgatók előadói közreműködésére.  </w:t>
      </w:r>
    </w:p>
    <w:p w:rsidR="007C7F86" w:rsidRDefault="007C7F86" w:rsidP="00DB1DFA">
      <w:pPr>
        <w:spacing w:after="80"/>
        <w:jc w:val="both"/>
        <w:rPr>
          <w:i/>
          <w:sz w:val="20"/>
          <w:szCs w:val="24"/>
        </w:rPr>
      </w:pPr>
      <w:r w:rsidRPr="007C7F86">
        <w:rPr>
          <w:i/>
          <w:sz w:val="20"/>
          <w:szCs w:val="24"/>
        </w:rPr>
        <w:t>A konferencia célja, hogy összekapcsolja az akadémiai világot, a szakértőket a gyakorló szakemberekkel, és a kapcsolódásokból létrejövő tudást hozzáférhetővé tegye az érdeklődők számára. A délelőtti plenáris előadások a rendszertudat tudásteremtésben és innovációban be</w:t>
      </w:r>
      <w:r w:rsidR="00B508C9">
        <w:rPr>
          <w:i/>
          <w:sz w:val="20"/>
          <w:szCs w:val="24"/>
        </w:rPr>
        <w:t xml:space="preserve">töltött szerepével, valamint a </w:t>
      </w:r>
      <w:proofErr w:type="spellStart"/>
      <w:r w:rsidRPr="007C7F86">
        <w:rPr>
          <w:i/>
          <w:sz w:val="20"/>
          <w:szCs w:val="24"/>
        </w:rPr>
        <w:t>coaching</w:t>
      </w:r>
      <w:proofErr w:type="spellEnd"/>
      <w:r w:rsidRPr="007C7F86">
        <w:rPr>
          <w:i/>
          <w:sz w:val="20"/>
          <w:szCs w:val="24"/>
        </w:rPr>
        <w:t xml:space="preserve"> emberi erőforrás fejlesztésben mutat</w:t>
      </w:r>
      <w:r w:rsidR="00DB1DFA">
        <w:rPr>
          <w:i/>
          <w:sz w:val="20"/>
          <w:szCs w:val="24"/>
        </w:rPr>
        <w:t>kozó módszertani jelentőségével</w:t>
      </w:r>
      <w:r w:rsidRPr="007C7F86">
        <w:rPr>
          <w:i/>
          <w:sz w:val="20"/>
          <w:szCs w:val="24"/>
        </w:rPr>
        <w:t xml:space="preserve"> foglalkozik.  A délutáni három szekcióban a szakértők, közöttük egyetemi hallgatók - a nemtudás témaköréhez kapcsolódóan, a gyakorlat szintjén - az emberi erőforrás fejlesztés és mun</w:t>
      </w:r>
      <w:r w:rsidR="00B508C9">
        <w:rPr>
          <w:i/>
          <w:sz w:val="20"/>
          <w:szCs w:val="24"/>
        </w:rPr>
        <w:t xml:space="preserve">kaerő megtartás kérdéskörével, </w:t>
      </w:r>
      <w:r w:rsidRPr="007C7F86">
        <w:rPr>
          <w:i/>
          <w:sz w:val="20"/>
          <w:szCs w:val="24"/>
        </w:rPr>
        <w:t xml:space="preserve">az akadályozottság dimenzióival és a </w:t>
      </w:r>
      <w:proofErr w:type="spellStart"/>
      <w:r w:rsidRPr="007C7F86">
        <w:rPr>
          <w:i/>
          <w:sz w:val="20"/>
          <w:szCs w:val="24"/>
        </w:rPr>
        <w:t>coaching</w:t>
      </w:r>
      <w:proofErr w:type="spellEnd"/>
      <w:r w:rsidRPr="007C7F86">
        <w:rPr>
          <w:i/>
          <w:sz w:val="20"/>
          <w:szCs w:val="24"/>
        </w:rPr>
        <w:t xml:space="preserve"> módszertani ké</w:t>
      </w:r>
      <w:r w:rsidR="00A66466">
        <w:rPr>
          <w:i/>
          <w:sz w:val="20"/>
          <w:szCs w:val="24"/>
        </w:rPr>
        <w:t xml:space="preserve">rdéseivel foglalkoznak. </w:t>
      </w:r>
    </w:p>
    <w:p w:rsidR="007C7F86" w:rsidRPr="007C7F86" w:rsidRDefault="007C7F86" w:rsidP="007C7F86">
      <w:pPr>
        <w:jc w:val="both"/>
        <w:rPr>
          <w:i/>
          <w:sz w:val="20"/>
          <w:szCs w:val="24"/>
        </w:rPr>
      </w:pPr>
      <w:r w:rsidRPr="007C7F86">
        <w:rPr>
          <w:i/>
          <w:sz w:val="20"/>
          <w:szCs w:val="24"/>
        </w:rPr>
        <w:t>Várjuk a felnőttképzésben és humánerőforrás fejlesztésben érintett elméleti és gyakorlati szake</w:t>
      </w:r>
      <w:r w:rsidR="00B508C9">
        <w:rPr>
          <w:i/>
          <w:sz w:val="20"/>
          <w:szCs w:val="24"/>
        </w:rPr>
        <w:t>mbereket, egyetemi hallgatókat.</w:t>
      </w:r>
    </w:p>
    <w:p w:rsidR="00AD7902" w:rsidRPr="007C7F86" w:rsidRDefault="0044369E" w:rsidP="007F7B28">
      <w:pPr>
        <w:jc w:val="center"/>
        <w:rPr>
          <w:b/>
          <w:sz w:val="24"/>
          <w:szCs w:val="24"/>
        </w:rPr>
      </w:pPr>
      <w:r w:rsidRPr="007C7F86">
        <w:rPr>
          <w:b/>
          <w:sz w:val="24"/>
          <w:szCs w:val="24"/>
        </w:rPr>
        <w:t>Tervezett program</w:t>
      </w:r>
    </w:p>
    <w:p w:rsidR="00B508C9" w:rsidRPr="00722158" w:rsidRDefault="00AD7902" w:rsidP="007C0C69">
      <w:pPr>
        <w:spacing w:after="240"/>
        <w:rPr>
          <w:b/>
          <w:sz w:val="24"/>
          <w:szCs w:val="24"/>
        </w:rPr>
      </w:pPr>
      <w:r w:rsidRPr="0072155B">
        <w:rPr>
          <w:b/>
          <w:sz w:val="24"/>
          <w:szCs w:val="24"/>
        </w:rPr>
        <w:t xml:space="preserve">9.30 </w:t>
      </w:r>
      <w:r w:rsidRPr="00722158">
        <w:rPr>
          <w:b/>
          <w:sz w:val="24"/>
          <w:szCs w:val="24"/>
        </w:rPr>
        <w:t>Regisztráció</w:t>
      </w:r>
    </w:p>
    <w:p w:rsidR="00A749E4" w:rsidRPr="00B64D86" w:rsidRDefault="00A749E4" w:rsidP="007C0C69">
      <w:pPr>
        <w:spacing w:after="240"/>
        <w:jc w:val="both"/>
        <w:rPr>
          <w:sz w:val="24"/>
          <w:szCs w:val="24"/>
        </w:rPr>
      </w:pPr>
      <w:r w:rsidRPr="003632A7">
        <w:rPr>
          <w:sz w:val="24"/>
          <w:szCs w:val="24"/>
        </w:rPr>
        <w:t xml:space="preserve">ELTE </w:t>
      </w:r>
      <w:r>
        <w:rPr>
          <w:sz w:val="24"/>
          <w:szCs w:val="24"/>
        </w:rPr>
        <w:t>PPK FTI és NMI</w:t>
      </w:r>
      <w:r w:rsidRPr="00B64D86">
        <w:rPr>
          <w:sz w:val="24"/>
          <w:szCs w:val="24"/>
        </w:rPr>
        <w:t xml:space="preserve"> stratégiai együttműködési szerződés sajtónyilvános aláírása</w:t>
      </w:r>
    </w:p>
    <w:p w:rsidR="00D00AB5" w:rsidRDefault="00D00AB5" w:rsidP="007C0C69">
      <w:pPr>
        <w:spacing w:after="240" w:line="276" w:lineRule="auto"/>
        <w:jc w:val="both"/>
        <w:rPr>
          <w:sz w:val="24"/>
          <w:szCs w:val="24"/>
        </w:rPr>
      </w:pPr>
      <w:r w:rsidRPr="00722158">
        <w:rPr>
          <w:b/>
          <w:sz w:val="24"/>
          <w:szCs w:val="24"/>
        </w:rPr>
        <w:t>10.00-10.20</w:t>
      </w:r>
      <w:r>
        <w:rPr>
          <w:sz w:val="24"/>
          <w:szCs w:val="24"/>
        </w:rPr>
        <w:t xml:space="preserve"> </w:t>
      </w:r>
      <w:r w:rsidRPr="00722158">
        <w:rPr>
          <w:b/>
          <w:sz w:val="24"/>
          <w:szCs w:val="24"/>
        </w:rPr>
        <w:t>Megnyitó</w:t>
      </w:r>
    </w:p>
    <w:p w:rsidR="00684AC0" w:rsidRPr="007F7B28" w:rsidRDefault="00D00AB5" w:rsidP="007C7F86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10.20</w:t>
      </w:r>
      <w:r w:rsidR="00016456">
        <w:rPr>
          <w:b/>
          <w:sz w:val="24"/>
          <w:szCs w:val="24"/>
        </w:rPr>
        <w:t>-12.00</w:t>
      </w:r>
      <w:r>
        <w:rPr>
          <w:b/>
          <w:sz w:val="24"/>
          <w:szCs w:val="24"/>
        </w:rPr>
        <w:t xml:space="preserve"> </w:t>
      </w:r>
      <w:r w:rsidR="007C0C69">
        <w:rPr>
          <w:b/>
          <w:sz w:val="24"/>
          <w:szCs w:val="24"/>
        </w:rPr>
        <w:t>Plenáris előadások</w:t>
      </w:r>
    </w:p>
    <w:p w:rsidR="00D00AB5" w:rsidRPr="00DB1DFA" w:rsidRDefault="00D00AB5" w:rsidP="007C7F86">
      <w:pPr>
        <w:spacing w:after="120"/>
        <w:jc w:val="both"/>
        <w:rPr>
          <w:szCs w:val="24"/>
        </w:rPr>
      </w:pPr>
      <w:r w:rsidRPr="00DB1DFA">
        <w:rPr>
          <w:b/>
          <w:szCs w:val="24"/>
        </w:rPr>
        <w:t>Pléh Csaba</w:t>
      </w:r>
      <w:r w:rsidRPr="00DB1DFA">
        <w:rPr>
          <w:szCs w:val="24"/>
        </w:rPr>
        <w:t xml:space="preserve"> akadémikus,</w:t>
      </w:r>
      <w:r w:rsidRPr="00DB1DFA">
        <w:rPr>
          <w:rFonts w:cs="Arial"/>
          <w:szCs w:val="24"/>
          <w:shd w:val="clear" w:color="auto" w:fill="FFFFFF"/>
        </w:rPr>
        <w:t xml:space="preserve"> az MTA </w:t>
      </w:r>
      <w:r w:rsidR="00A749E4" w:rsidRPr="00DB1DFA">
        <w:rPr>
          <w:rFonts w:cs="Arial"/>
          <w:szCs w:val="24"/>
          <w:shd w:val="clear" w:color="auto" w:fill="FFFFFF"/>
        </w:rPr>
        <w:t>Közoktatási Bizottság elnöke</w:t>
      </w:r>
      <w:r w:rsidRPr="00DB1DFA">
        <w:rPr>
          <w:rFonts w:cs="Arial"/>
          <w:szCs w:val="24"/>
          <w:shd w:val="clear" w:color="auto" w:fill="FFFFFF"/>
        </w:rPr>
        <w:t xml:space="preserve">, a Közép-európai Egyetem vendégprofesszora: </w:t>
      </w:r>
      <w:r w:rsidRPr="00DB1DFA">
        <w:rPr>
          <w:rFonts w:cs="Arial"/>
          <w:i/>
          <w:szCs w:val="24"/>
          <w:shd w:val="clear" w:color="auto" w:fill="FFFFFF"/>
        </w:rPr>
        <w:t>A tudás fogalma a mai pszichológiában</w:t>
      </w:r>
    </w:p>
    <w:p w:rsidR="00684AC0" w:rsidRPr="00DB1DFA" w:rsidRDefault="00684AC0" w:rsidP="007C7F86">
      <w:pPr>
        <w:spacing w:after="120"/>
        <w:jc w:val="both"/>
        <w:rPr>
          <w:szCs w:val="24"/>
        </w:rPr>
      </w:pPr>
      <w:r w:rsidRPr="00DB1DFA">
        <w:rPr>
          <w:b/>
          <w:szCs w:val="24"/>
        </w:rPr>
        <w:t>Fábri György</w:t>
      </w:r>
      <w:r w:rsidR="00A749E4" w:rsidRPr="00DB1DFA">
        <w:rPr>
          <w:szCs w:val="24"/>
        </w:rPr>
        <w:t xml:space="preserve"> dékánhelyettes,</w:t>
      </w:r>
      <w:r w:rsidR="001D4924" w:rsidRPr="00DB1DFA">
        <w:rPr>
          <w:szCs w:val="24"/>
        </w:rPr>
        <w:t xml:space="preserve"> habilitált egyetemi docens</w:t>
      </w:r>
      <w:r w:rsidRPr="00DB1DFA">
        <w:rPr>
          <w:szCs w:val="24"/>
        </w:rPr>
        <w:t xml:space="preserve">, ELTE </w:t>
      </w:r>
      <w:r w:rsidR="00B64D86" w:rsidRPr="00DB1DFA">
        <w:rPr>
          <w:szCs w:val="24"/>
        </w:rPr>
        <w:t>Pedagógia és Pszichológia Kar</w:t>
      </w:r>
      <w:r w:rsidR="001D4924" w:rsidRPr="00DB1DFA">
        <w:rPr>
          <w:szCs w:val="24"/>
        </w:rPr>
        <w:t>:</w:t>
      </w:r>
      <w:r w:rsidR="00A749E4" w:rsidRPr="00DB1DFA">
        <w:rPr>
          <w:szCs w:val="24"/>
        </w:rPr>
        <w:t xml:space="preserve"> </w:t>
      </w:r>
      <w:r w:rsidR="00A749E4" w:rsidRPr="00DB1DFA">
        <w:rPr>
          <w:i/>
          <w:szCs w:val="24"/>
        </w:rPr>
        <w:t>A Mindent Nem-tudás Egyeteme</w:t>
      </w:r>
    </w:p>
    <w:p w:rsidR="00684AC0" w:rsidRPr="00DB1DFA" w:rsidRDefault="001E37D6" w:rsidP="007C0C69">
      <w:pPr>
        <w:spacing w:after="240"/>
        <w:jc w:val="both"/>
        <w:rPr>
          <w:szCs w:val="24"/>
        </w:rPr>
      </w:pPr>
      <w:r w:rsidRPr="00DB1DFA">
        <w:rPr>
          <w:b/>
          <w:szCs w:val="24"/>
        </w:rPr>
        <w:t>Szabó Gab</w:t>
      </w:r>
      <w:r w:rsidR="00695BA5">
        <w:rPr>
          <w:b/>
          <w:szCs w:val="24"/>
        </w:rPr>
        <w:t>r</w:t>
      </w:r>
      <w:r w:rsidRPr="00DB1DFA">
        <w:rPr>
          <w:b/>
          <w:szCs w:val="24"/>
        </w:rPr>
        <w:t>i</w:t>
      </w:r>
      <w:r w:rsidR="00695BA5">
        <w:rPr>
          <w:b/>
          <w:szCs w:val="24"/>
        </w:rPr>
        <w:t>ella</w:t>
      </w:r>
      <w:r w:rsidR="001D4924" w:rsidRPr="00DB1DFA">
        <w:rPr>
          <w:szCs w:val="24"/>
        </w:rPr>
        <w:t xml:space="preserve"> </w:t>
      </w:r>
      <w:r w:rsidR="00A749E4" w:rsidRPr="00DB1DFA">
        <w:rPr>
          <w:szCs w:val="24"/>
        </w:rPr>
        <w:t xml:space="preserve">Master </w:t>
      </w:r>
      <w:proofErr w:type="spellStart"/>
      <w:r w:rsidR="00A749E4" w:rsidRPr="00DB1DFA">
        <w:rPr>
          <w:szCs w:val="24"/>
        </w:rPr>
        <w:t>Certified</w:t>
      </w:r>
      <w:proofErr w:type="spellEnd"/>
      <w:r w:rsidR="00A749E4" w:rsidRPr="00DB1DFA">
        <w:rPr>
          <w:szCs w:val="24"/>
        </w:rPr>
        <w:t xml:space="preserve"> </w:t>
      </w:r>
      <w:proofErr w:type="spellStart"/>
      <w:r w:rsidR="00A749E4" w:rsidRPr="00DB1DFA">
        <w:rPr>
          <w:szCs w:val="24"/>
        </w:rPr>
        <w:t>Coach</w:t>
      </w:r>
      <w:proofErr w:type="spellEnd"/>
      <w:r w:rsidR="00A749E4" w:rsidRPr="00DB1DFA">
        <w:rPr>
          <w:szCs w:val="24"/>
        </w:rPr>
        <w:t xml:space="preserve">, International </w:t>
      </w:r>
      <w:proofErr w:type="spellStart"/>
      <w:r w:rsidR="00A749E4" w:rsidRPr="00DB1DFA">
        <w:rPr>
          <w:szCs w:val="24"/>
        </w:rPr>
        <w:t>Coach</w:t>
      </w:r>
      <w:proofErr w:type="spellEnd"/>
      <w:r w:rsidR="00A749E4" w:rsidRPr="00DB1DFA">
        <w:rPr>
          <w:szCs w:val="24"/>
        </w:rPr>
        <w:t xml:space="preserve"> </w:t>
      </w:r>
      <w:proofErr w:type="spellStart"/>
      <w:r w:rsidR="00A749E4" w:rsidRPr="00DB1DFA">
        <w:rPr>
          <w:szCs w:val="24"/>
        </w:rPr>
        <w:t>Federation</w:t>
      </w:r>
      <w:proofErr w:type="spellEnd"/>
      <w:r w:rsidR="00A749E4" w:rsidRPr="00DB1DFA">
        <w:rPr>
          <w:szCs w:val="24"/>
        </w:rPr>
        <w:t xml:space="preserve"> Magyar Tagozat alelnöke: </w:t>
      </w:r>
      <w:r w:rsidR="00A749E4" w:rsidRPr="00DB1DFA">
        <w:rPr>
          <w:i/>
          <w:szCs w:val="24"/>
        </w:rPr>
        <w:t>A nemtudás élvezete</w:t>
      </w:r>
    </w:p>
    <w:p w:rsidR="00AD7902" w:rsidRPr="007C0C69" w:rsidRDefault="00AD7902" w:rsidP="00DB1DFA">
      <w:pPr>
        <w:rPr>
          <w:b/>
          <w:sz w:val="24"/>
          <w:szCs w:val="24"/>
        </w:rPr>
      </w:pPr>
      <w:r w:rsidRPr="001E37D6">
        <w:rPr>
          <w:b/>
          <w:sz w:val="24"/>
          <w:szCs w:val="24"/>
        </w:rPr>
        <w:t>12.00-13.00</w:t>
      </w:r>
      <w:r w:rsidRPr="001E37D6">
        <w:rPr>
          <w:sz w:val="24"/>
          <w:szCs w:val="24"/>
        </w:rPr>
        <w:t xml:space="preserve"> </w:t>
      </w:r>
      <w:r w:rsidRPr="001E37D6">
        <w:rPr>
          <w:b/>
          <w:sz w:val="24"/>
          <w:szCs w:val="24"/>
        </w:rPr>
        <w:t>Szendvicsebéd</w:t>
      </w:r>
      <w:r w:rsidR="007C0C69" w:rsidRPr="001E37D6">
        <w:rPr>
          <w:b/>
          <w:sz w:val="24"/>
          <w:szCs w:val="24"/>
        </w:rPr>
        <w:t xml:space="preserve">, </w:t>
      </w:r>
      <w:r w:rsidRPr="001E37D6">
        <w:rPr>
          <w:b/>
          <w:sz w:val="24"/>
          <w:szCs w:val="24"/>
        </w:rPr>
        <w:t>Ha</w:t>
      </w:r>
      <w:r w:rsidR="00722158" w:rsidRPr="001E37D6">
        <w:rPr>
          <w:b/>
          <w:sz w:val="24"/>
          <w:szCs w:val="24"/>
        </w:rPr>
        <w:t>llgató munkák poszterkiállítása</w:t>
      </w:r>
    </w:p>
    <w:p w:rsidR="00A811FB" w:rsidRDefault="00A257EE" w:rsidP="007C0C69">
      <w:pPr>
        <w:spacing w:after="240"/>
        <w:rPr>
          <w:sz w:val="24"/>
          <w:szCs w:val="24"/>
        </w:rPr>
      </w:pPr>
      <w:r>
        <w:rPr>
          <w:b/>
          <w:sz w:val="24"/>
          <w:szCs w:val="24"/>
        </w:rPr>
        <w:t>13.</w:t>
      </w:r>
      <w:r w:rsidR="00AD7902" w:rsidRPr="0044369E">
        <w:rPr>
          <w:b/>
          <w:sz w:val="24"/>
          <w:szCs w:val="24"/>
        </w:rPr>
        <w:t>00-15.00</w:t>
      </w:r>
      <w:r w:rsidR="007C0C69">
        <w:rPr>
          <w:b/>
          <w:sz w:val="24"/>
          <w:szCs w:val="24"/>
        </w:rPr>
        <w:t xml:space="preserve"> </w:t>
      </w:r>
      <w:r w:rsidR="00016456">
        <w:rPr>
          <w:b/>
          <w:sz w:val="24"/>
          <w:szCs w:val="24"/>
        </w:rPr>
        <w:t>Szekciók</w:t>
      </w:r>
    </w:p>
    <w:p w:rsidR="00484FF4" w:rsidRPr="00484FF4" w:rsidRDefault="00484FF4" w:rsidP="00484FF4">
      <w:pPr>
        <w:spacing w:before="100" w:beforeAutospacing="1" w:after="100" w:afterAutospacing="1" w:line="240" w:lineRule="auto"/>
        <w:ind w:hanging="357"/>
        <w:jc w:val="center"/>
        <w:rPr>
          <w:i/>
          <w:sz w:val="20"/>
          <w:szCs w:val="24"/>
        </w:rPr>
      </w:pPr>
      <w:r w:rsidRPr="00484FF4">
        <w:rPr>
          <w:i/>
          <w:sz w:val="20"/>
          <w:szCs w:val="24"/>
        </w:rPr>
        <w:t xml:space="preserve">A rendezvény ingyenes. Előzetesen regisztrálni kell az </w:t>
      </w:r>
      <w:hyperlink r:id="rId8" w:history="1">
        <w:r w:rsidRPr="00484FF4">
          <w:rPr>
            <w:rStyle w:val="Hiperhivatkozs"/>
            <w:i/>
            <w:sz w:val="20"/>
            <w:szCs w:val="24"/>
          </w:rPr>
          <w:t>fti@ppk.elte.hu</w:t>
        </w:r>
      </w:hyperlink>
      <w:r w:rsidRPr="00484FF4">
        <w:rPr>
          <w:i/>
          <w:sz w:val="20"/>
          <w:szCs w:val="24"/>
        </w:rPr>
        <w:t xml:space="preserve"> e-mail címen.</w:t>
      </w:r>
    </w:p>
    <w:p w:rsidR="0079529F" w:rsidRPr="009C4376" w:rsidRDefault="00016456" w:rsidP="00684AC0">
      <w:pPr>
        <w:jc w:val="center"/>
        <w:rPr>
          <w:b/>
          <w:sz w:val="28"/>
          <w:szCs w:val="24"/>
        </w:rPr>
      </w:pPr>
      <w:r w:rsidRPr="006E1013">
        <w:rPr>
          <w:b/>
          <w:sz w:val="24"/>
          <w:szCs w:val="24"/>
        </w:rPr>
        <w:lastRenderedPageBreak/>
        <w:t>1. sz</w:t>
      </w:r>
      <w:r w:rsidR="009C4376" w:rsidRPr="006E1013">
        <w:rPr>
          <w:b/>
          <w:sz w:val="24"/>
          <w:szCs w:val="24"/>
        </w:rPr>
        <w:t xml:space="preserve">ekció: A nemtudás és a </w:t>
      </w:r>
      <w:proofErr w:type="spellStart"/>
      <w:r w:rsidR="009C4376" w:rsidRPr="006E1013">
        <w:rPr>
          <w:b/>
          <w:sz w:val="24"/>
          <w:szCs w:val="24"/>
        </w:rPr>
        <w:t>coaching</w:t>
      </w:r>
      <w:proofErr w:type="spellEnd"/>
    </w:p>
    <w:p w:rsidR="00684AC0" w:rsidRPr="006E1013" w:rsidRDefault="00684AC0" w:rsidP="00684AC0">
      <w:pPr>
        <w:rPr>
          <w:b/>
          <w:i/>
          <w:sz w:val="20"/>
          <w:szCs w:val="24"/>
        </w:rPr>
      </w:pPr>
      <w:r w:rsidRPr="006E1013">
        <w:rPr>
          <w:b/>
          <w:sz w:val="20"/>
          <w:szCs w:val="24"/>
        </w:rPr>
        <w:t>Vezeti: Lakner Szilvia</w:t>
      </w:r>
      <w:r w:rsidR="001D4924" w:rsidRPr="006E1013">
        <w:rPr>
          <w:b/>
          <w:sz w:val="20"/>
          <w:szCs w:val="24"/>
        </w:rPr>
        <w:t xml:space="preserve"> PhD egy</w:t>
      </w:r>
      <w:r w:rsidR="00722158" w:rsidRPr="006E1013">
        <w:rPr>
          <w:b/>
          <w:sz w:val="20"/>
          <w:szCs w:val="24"/>
        </w:rPr>
        <w:t xml:space="preserve">etemi </w:t>
      </w:r>
      <w:r w:rsidR="001D4924" w:rsidRPr="006E1013">
        <w:rPr>
          <w:b/>
          <w:sz w:val="20"/>
          <w:szCs w:val="24"/>
        </w:rPr>
        <w:t>adjunktus ELTE PPK</w:t>
      </w:r>
      <w:r w:rsidR="00387080" w:rsidRPr="006E1013">
        <w:rPr>
          <w:b/>
          <w:sz w:val="20"/>
          <w:szCs w:val="24"/>
        </w:rPr>
        <w:t xml:space="preserve">: </w:t>
      </w:r>
      <w:r w:rsidR="00387080" w:rsidRPr="006E1013">
        <w:rPr>
          <w:b/>
          <w:i/>
          <w:sz w:val="20"/>
          <w:szCs w:val="24"/>
        </w:rPr>
        <w:t>A nemtudás megélése és ereje a fejlesztő munkában</w:t>
      </w:r>
    </w:p>
    <w:p w:rsidR="009C4376" w:rsidRPr="006E1013" w:rsidRDefault="009C4376" w:rsidP="009C4376">
      <w:pPr>
        <w:jc w:val="both"/>
        <w:rPr>
          <w:i/>
          <w:sz w:val="20"/>
        </w:rPr>
      </w:pPr>
      <w:r w:rsidRPr="006E1013">
        <w:rPr>
          <w:i/>
          <w:sz w:val="20"/>
        </w:rPr>
        <w:t xml:space="preserve">Komplex, bizonytalan és változékony környezetben élünk, amelyben legkomplexebb kihívásainkat sok esetben meghatározni sem tudjuk pontosan, és nem ismerjük a megfelelő megküzdési módokat. Amikor elérünk a tudásunk határára, és ott állunk az ismeretlen, nemtudás „birodalma” előtt, ösztönösen meglévő tudásunkba kapaszkodunk, azonnali megoldásokat keresünk, vagy teljes egészében megpróbáljuk kerülni a helyzetet. Olyan helyzetekben is kapaszkodunk a tudásba, amikor az leginkább korlátoz bennünket, és ezzel – paradox módon – éppen az új tudás megszerzését és a fejlődést akadályozza. Ezért az emberi erőforrás fejlesztésben nagy szerepe van annak, hogy hogyan kezeljük ezt a bizonyos határzónát. A határzóna a fejlesztési munkában –egyéni, csoport és szervezet szintjén is – egy termékeny, lehetőségekben bővelkedő terület. </w:t>
      </w:r>
    </w:p>
    <w:p w:rsidR="009C4376" w:rsidRPr="006E1013" w:rsidRDefault="009C4376" w:rsidP="009C4376">
      <w:pPr>
        <w:jc w:val="both"/>
        <w:rPr>
          <w:i/>
          <w:sz w:val="20"/>
        </w:rPr>
      </w:pPr>
      <w:r w:rsidRPr="006E1013">
        <w:rPr>
          <w:i/>
          <w:sz w:val="20"/>
        </w:rPr>
        <w:t xml:space="preserve">A szekció felvezető előadásában arra nézünk rá, hogy milyen lehetőségeket rejt a nemtudás, és mi történik akkor, amikor megérkezünk tudásunk határzónájába, amely a jelenlegi megszokott világunkat elválasztja attól, ami különös, magyarázatra szoruló, felfedezetlen vagy felfedezhetetlen. </w:t>
      </w:r>
    </w:p>
    <w:p w:rsidR="009C4376" w:rsidRPr="007F7B28" w:rsidRDefault="009C4376" w:rsidP="00684AC0">
      <w:pPr>
        <w:rPr>
          <w:b/>
          <w:sz w:val="24"/>
          <w:szCs w:val="24"/>
        </w:rPr>
      </w:pPr>
    </w:p>
    <w:p w:rsidR="00567128" w:rsidRDefault="00567128" w:rsidP="00684AC0">
      <w:pPr>
        <w:pStyle w:val="Listaszerbekezds"/>
        <w:numPr>
          <w:ilvl w:val="0"/>
          <w:numId w:val="2"/>
        </w:numPr>
        <w:rPr>
          <w:b/>
          <w:sz w:val="24"/>
          <w:szCs w:val="24"/>
        </w:rPr>
        <w:sectPr w:rsidR="00567128" w:rsidSect="007C7F8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417" w:left="1417" w:header="708" w:footer="708" w:gutter="0"/>
          <w:cols w:space="708"/>
          <w:titlePg/>
          <w:docGrid w:linePitch="360"/>
        </w:sectPr>
      </w:pPr>
    </w:p>
    <w:p w:rsidR="00684AC0" w:rsidRPr="00567128" w:rsidRDefault="001E37D6" w:rsidP="00567128">
      <w:pPr>
        <w:pStyle w:val="Listaszerbekezds"/>
        <w:ind w:left="0"/>
        <w:rPr>
          <w:b/>
          <w:sz w:val="20"/>
          <w:szCs w:val="24"/>
        </w:rPr>
      </w:pPr>
      <w:r w:rsidRPr="00567128">
        <w:rPr>
          <w:b/>
          <w:sz w:val="20"/>
          <w:szCs w:val="24"/>
        </w:rPr>
        <w:t>Szabó Gab</w:t>
      </w:r>
      <w:r w:rsidR="00695BA5">
        <w:rPr>
          <w:b/>
          <w:sz w:val="20"/>
          <w:szCs w:val="24"/>
        </w:rPr>
        <w:t>r</w:t>
      </w:r>
      <w:r w:rsidRPr="00567128">
        <w:rPr>
          <w:b/>
          <w:sz w:val="20"/>
          <w:szCs w:val="24"/>
        </w:rPr>
        <w:t>i</w:t>
      </w:r>
      <w:r w:rsidR="00695BA5">
        <w:rPr>
          <w:b/>
          <w:sz w:val="20"/>
          <w:szCs w:val="24"/>
        </w:rPr>
        <w:t>ella</w:t>
      </w:r>
      <w:r w:rsidR="007C0C69" w:rsidRPr="00567128">
        <w:rPr>
          <w:b/>
          <w:sz w:val="20"/>
          <w:szCs w:val="24"/>
        </w:rPr>
        <w:t xml:space="preserve">, Master </w:t>
      </w:r>
      <w:proofErr w:type="spellStart"/>
      <w:r w:rsidR="007C0C69" w:rsidRPr="00567128">
        <w:rPr>
          <w:b/>
          <w:sz w:val="20"/>
          <w:szCs w:val="24"/>
        </w:rPr>
        <w:t>Certified</w:t>
      </w:r>
      <w:proofErr w:type="spellEnd"/>
      <w:r w:rsidR="007C0C69" w:rsidRPr="00567128">
        <w:rPr>
          <w:b/>
          <w:sz w:val="20"/>
          <w:szCs w:val="24"/>
        </w:rPr>
        <w:t xml:space="preserve"> </w:t>
      </w:r>
      <w:proofErr w:type="spellStart"/>
      <w:r w:rsidR="007C0C69" w:rsidRPr="00567128">
        <w:rPr>
          <w:b/>
          <w:sz w:val="20"/>
          <w:szCs w:val="24"/>
        </w:rPr>
        <w:t>Coach</w:t>
      </w:r>
      <w:proofErr w:type="spellEnd"/>
      <w:r w:rsidR="007C0C69" w:rsidRPr="00567128">
        <w:rPr>
          <w:b/>
          <w:sz w:val="20"/>
          <w:szCs w:val="24"/>
        </w:rPr>
        <w:t xml:space="preserve">, International </w:t>
      </w:r>
      <w:proofErr w:type="spellStart"/>
      <w:r w:rsidR="007C0C69" w:rsidRPr="00567128">
        <w:rPr>
          <w:b/>
          <w:sz w:val="20"/>
          <w:szCs w:val="24"/>
        </w:rPr>
        <w:t>Coach</w:t>
      </w:r>
      <w:proofErr w:type="spellEnd"/>
      <w:r w:rsidR="007C0C69" w:rsidRPr="00567128">
        <w:rPr>
          <w:b/>
          <w:sz w:val="20"/>
          <w:szCs w:val="24"/>
        </w:rPr>
        <w:t xml:space="preserve"> </w:t>
      </w:r>
      <w:proofErr w:type="spellStart"/>
      <w:r w:rsidR="007C0C69" w:rsidRPr="00567128">
        <w:rPr>
          <w:b/>
          <w:sz w:val="20"/>
          <w:szCs w:val="24"/>
        </w:rPr>
        <w:t>Federation</w:t>
      </w:r>
      <w:proofErr w:type="spellEnd"/>
      <w:r w:rsidR="007C0C69" w:rsidRPr="00567128">
        <w:rPr>
          <w:b/>
          <w:sz w:val="20"/>
          <w:szCs w:val="24"/>
        </w:rPr>
        <w:t xml:space="preserve"> Magyar Tagozat alelnöke</w:t>
      </w:r>
      <w:r w:rsidR="00567128" w:rsidRPr="00567128">
        <w:rPr>
          <w:b/>
          <w:sz w:val="20"/>
          <w:szCs w:val="24"/>
        </w:rPr>
        <w:t xml:space="preserve">: </w:t>
      </w:r>
      <w:r w:rsidR="00567128" w:rsidRPr="00567128">
        <w:rPr>
          <w:b/>
          <w:i/>
          <w:sz w:val="20"/>
          <w:szCs w:val="24"/>
        </w:rPr>
        <w:t xml:space="preserve">Ne érteni akard, csak kapcsolódj! - A csoportos </w:t>
      </w:r>
      <w:proofErr w:type="spellStart"/>
      <w:r w:rsidR="00567128" w:rsidRPr="00567128">
        <w:rPr>
          <w:b/>
          <w:i/>
          <w:sz w:val="20"/>
          <w:szCs w:val="24"/>
        </w:rPr>
        <w:t>coaching</w:t>
      </w:r>
      <w:proofErr w:type="spellEnd"/>
      <w:r w:rsidR="00567128" w:rsidRPr="00567128">
        <w:rPr>
          <w:b/>
          <w:i/>
          <w:sz w:val="20"/>
          <w:szCs w:val="24"/>
        </w:rPr>
        <w:t xml:space="preserve"> tapasztalati megélése</w:t>
      </w:r>
    </w:p>
    <w:p w:rsidR="009C4376" w:rsidRPr="00567128" w:rsidRDefault="009C4376" w:rsidP="00567128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4"/>
          <w:lang w:eastAsia="hu-HU"/>
        </w:rPr>
      </w:pPr>
      <w:r w:rsidRPr="00567128">
        <w:rPr>
          <w:rFonts w:eastAsia="Times New Roman" w:cstheme="minorHAnsi"/>
          <w:sz w:val="20"/>
          <w:szCs w:val="24"/>
          <w:lang w:eastAsia="hu-HU"/>
        </w:rPr>
        <w:t xml:space="preserve">A </w:t>
      </w:r>
      <w:proofErr w:type="spellStart"/>
      <w:r w:rsidRPr="00567128">
        <w:rPr>
          <w:rFonts w:eastAsia="Times New Roman" w:cstheme="minorHAnsi"/>
          <w:sz w:val="20"/>
          <w:szCs w:val="24"/>
          <w:lang w:eastAsia="hu-HU"/>
        </w:rPr>
        <w:t>coaching</w:t>
      </w:r>
      <w:proofErr w:type="spellEnd"/>
      <w:r w:rsidRPr="00567128">
        <w:rPr>
          <w:rFonts w:eastAsia="Times New Roman" w:cstheme="minorHAnsi"/>
          <w:sz w:val="20"/>
          <w:szCs w:val="24"/>
          <w:lang w:eastAsia="hu-HU"/>
        </w:rPr>
        <w:t xml:space="preserve"> szakmában alapvetés, hogy a </w:t>
      </w:r>
      <w:proofErr w:type="spellStart"/>
      <w:r w:rsidRPr="00567128">
        <w:rPr>
          <w:rFonts w:eastAsia="Times New Roman" w:cstheme="minorHAnsi"/>
          <w:sz w:val="20"/>
          <w:szCs w:val="24"/>
          <w:lang w:eastAsia="hu-HU"/>
        </w:rPr>
        <w:t>coach</w:t>
      </w:r>
      <w:proofErr w:type="spellEnd"/>
      <w:r w:rsidRPr="00567128">
        <w:rPr>
          <w:rFonts w:eastAsia="Times New Roman" w:cstheme="minorHAnsi"/>
          <w:sz w:val="20"/>
          <w:szCs w:val="24"/>
          <w:lang w:eastAsia="hu-HU"/>
        </w:rPr>
        <w:t xml:space="preserve"> nem akarja tudni, hogy mi lenne az ügyfele megoldása, következő lépése a témájában. Az ügyfél a szakértője a saját életének. Mégis ez a legnehezebb feladat: kitisztítani, kiüríteni az elmét, belépni a másik világába, anélkül, hogy fejlesztő szakemberként a saját gondolatainkkal megzavarnánk. </w:t>
      </w:r>
    </w:p>
    <w:p w:rsidR="009C4376" w:rsidRPr="00567128" w:rsidRDefault="009C4376" w:rsidP="00567128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4"/>
          <w:lang w:eastAsia="hu-HU"/>
        </w:rPr>
      </w:pPr>
      <w:r w:rsidRPr="00567128">
        <w:rPr>
          <w:rFonts w:eastAsia="Times New Roman" w:cstheme="minorHAnsi"/>
          <w:sz w:val="20"/>
          <w:szCs w:val="24"/>
          <w:lang w:eastAsia="hu-HU"/>
        </w:rPr>
        <w:t xml:space="preserve">A cselekvésorientált csoport </w:t>
      </w:r>
      <w:proofErr w:type="spellStart"/>
      <w:r w:rsidRPr="00567128">
        <w:rPr>
          <w:rFonts w:eastAsia="Times New Roman" w:cstheme="minorHAnsi"/>
          <w:sz w:val="20"/>
          <w:szCs w:val="24"/>
          <w:lang w:eastAsia="hu-HU"/>
        </w:rPr>
        <w:t>coaching</w:t>
      </w:r>
      <w:proofErr w:type="spellEnd"/>
      <w:r w:rsidRPr="00567128">
        <w:rPr>
          <w:rFonts w:eastAsia="Times New Roman" w:cstheme="minorHAnsi"/>
          <w:sz w:val="20"/>
          <w:szCs w:val="24"/>
          <w:lang w:eastAsia="hu-HU"/>
        </w:rPr>
        <w:t xml:space="preserve">, amit a Watson </w:t>
      </w:r>
      <w:proofErr w:type="spellStart"/>
      <w:r w:rsidRPr="00567128">
        <w:rPr>
          <w:rFonts w:eastAsia="Times New Roman" w:cstheme="minorHAnsi"/>
          <w:sz w:val="20"/>
          <w:szCs w:val="24"/>
          <w:lang w:eastAsia="hu-HU"/>
        </w:rPr>
        <w:t>Coach</w:t>
      </w:r>
      <w:proofErr w:type="spellEnd"/>
      <w:r w:rsidRPr="00567128">
        <w:rPr>
          <w:rFonts w:eastAsia="Times New Roman" w:cstheme="minorHAnsi"/>
          <w:sz w:val="20"/>
          <w:szCs w:val="24"/>
          <w:lang w:eastAsia="hu-HU"/>
        </w:rPr>
        <w:t xml:space="preserve"> Iskola képvisel, ebben különleges lehetőséget ad. A vizualitás, a dolgok megjelenítése, a realitástöbblet használata, a </w:t>
      </w:r>
      <w:proofErr w:type="spellStart"/>
      <w:r w:rsidRPr="00567128">
        <w:rPr>
          <w:rFonts w:eastAsia="Times New Roman" w:cstheme="minorHAnsi"/>
          <w:sz w:val="20"/>
          <w:szCs w:val="24"/>
          <w:lang w:eastAsia="hu-HU"/>
        </w:rPr>
        <w:t>pszichodramatikus</w:t>
      </w:r>
      <w:proofErr w:type="spellEnd"/>
      <w:r w:rsidRPr="00567128">
        <w:rPr>
          <w:rFonts w:eastAsia="Times New Roman" w:cstheme="minorHAnsi"/>
          <w:sz w:val="20"/>
          <w:szCs w:val="24"/>
          <w:lang w:eastAsia="hu-HU"/>
        </w:rPr>
        <w:t xml:space="preserve"> eszközök lehetővé teszik, hogy a </w:t>
      </w:r>
      <w:proofErr w:type="spellStart"/>
      <w:r w:rsidRPr="00567128">
        <w:rPr>
          <w:rFonts w:eastAsia="Times New Roman" w:cstheme="minorHAnsi"/>
          <w:sz w:val="20"/>
          <w:szCs w:val="24"/>
          <w:lang w:eastAsia="hu-HU"/>
        </w:rPr>
        <w:t>coach</w:t>
      </w:r>
      <w:proofErr w:type="spellEnd"/>
      <w:r w:rsidRPr="00567128">
        <w:rPr>
          <w:rFonts w:eastAsia="Times New Roman" w:cstheme="minorHAnsi"/>
          <w:sz w:val="20"/>
          <w:szCs w:val="24"/>
          <w:lang w:eastAsia="hu-HU"/>
        </w:rPr>
        <w:t xml:space="preserve"> úgy kísérje az ügyfelét, hogy közben "csak" rendezze a munkát, és a forgatókönyv alakítása végig az ügyfél kezében maradjon. A </w:t>
      </w:r>
      <w:proofErr w:type="spellStart"/>
      <w:r w:rsidRPr="00567128">
        <w:rPr>
          <w:rFonts w:eastAsia="Times New Roman" w:cstheme="minorHAnsi"/>
          <w:sz w:val="20"/>
          <w:szCs w:val="24"/>
          <w:lang w:eastAsia="hu-HU"/>
        </w:rPr>
        <w:t>coach</w:t>
      </w:r>
      <w:proofErr w:type="spellEnd"/>
      <w:r w:rsidRPr="00567128">
        <w:rPr>
          <w:rFonts w:eastAsia="Times New Roman" w:cstheme="minorHAnsi"/>
          <w:sz w:val="20"/>
          <w:szCs w:val="24"/>
          <w:lang w:eastAsia="hu-HU"/>
        </w:rPr>
        <w:t xml:space="preserve"> kapcsolódhat kreatívan, professzionálisan, a "nem tudás" boldogságában!</w:t>
      </w:r>
    </w:p>
    <w:p w:rsidR="00684AC0" w:rsidRDefault="00684AC0" w:rsidP="00567128">
      <w:pPr>
        <w:pStyle w:val="Listaszerbekezds"/>
        <w:ind w:left="0"/>
        <w:rPr>
          <w:b/>
          <w:sz w:val="24"/>
          <w:szCs w:val="24"/>
        </w:rPr>
      </w:pPr>
    </w:p>
    <w:p w:rsidR="00052795" w:rsidRDefault="00052795" w:rsidP="00567128">
      <w:pPr>
        <w:pStyle w:val="Listaszerbekezds"/>
        <w:ind w:left="0"/>
        <w:rPr>
          <w:b/>
          <w:sz w:val="24"/>
          <w:szCs w:val="24"/>
        </w:rPr>
      </w:pPr>
    </w:p>
    <w:p w:rsidR="00052795" w:rsidRDefault="00052795" w:rsidP="00567128">
      <w:pPr>
        <w:pStyle w:val="Listaszerbekezds"/>
        <w:ind w:left="0"/>
        <w:rPr>
          <w:b/>
          <w:sz w:val="24"/>
          <w:szCs w:val="24"/>
        </w:rPr>
      </w:pPr>
    </w:p>
    <w:p w:rsidR="00052795" w:rsidRDefault="00052795" w:rsidP="00567128">
      <w:pPr>
        <w:pStyle w:val="Listaszerbekezds"/>
        <w:ind w:left="0"/>
        <w:rPr>
          <w:b/>
          <w:sz w:val="24"/>
          <w:szCs w:val="24"/>
        </w:rPr>
      </w:pPr>
    </w:p>
    <w:p w:rsidR="00052795" w:rsidRDefault="00052795" w:rsidP="00567128">
      <w:pPr>
        <w:pStyle w:val="Listaszerbekezds"/>
        <w:ind w:left="0"/>
        <w:rPr>
          <w:b/>
          <w:sz w:val="24"/>
          <w:szCs w:val="24"/>
        </w:rPr>
      </w:pPr>
    </w:p>
    <w:p w:rsidR="00052795" w:rsidRDefault="00052795" w:rsidP="00567128">
      <w:pPr>
        <w:pStyle w:val="Listaszerbekezds"/>
        <w:ind w:left="0"/>
        <w:rPr>
          <w:b/>
          <w:sz w:val="24"/>
          <w:szCs w:val="24"/>
        </w:rPr>
      </w:pPr>
    </w:p>
    <w:p w:rsidR="00052795" w:rsidRDefault="00052795" w:rsidP="00567128">
      <w:pPr>
        <w:pStyle w:val="Listaszerbekezds"/>
        <w:ind w:left="0"/>
        <w:rPr>
          <w:b/>
          <w:sz w:val="24"/>
          <w:szCs w:val="24"/>
        </w:rPr>
      </w:pPr>
    </w:p>
    <w:p w:rsidR="00052795" w:rsidRDefault="00052795" w:rsidP="00567128">
      <w:pPr>
        <w:pStyle w:val="Listaszerbekezds"/>
        <w:ind w:left="0"/>
        <w:rPr>
          <w:b/>
          <w:sz w:val="24"/>
          <w:szCs w:val="24"/>
        </w:rPr>
      </w:pPr>
    </w:p>
    <w:p w:rsidR="00052795" w:rsidRDefault="00052795" w:rsidP="00567128">
      <w:pPr>
        <w:pStyle w:val="Listaszerbekezds"/>
        <w:ind w:left="0"/>
        <w:rPr>
          <w:b/>
          <w:sz w:val="24"/>
          <w:szCs w:val="24"/>
        </w:rPr>
      </w:pPr>
    </w:p>
    <w:p w:rsidR="00052795" w:rsidRDefault="00052795" w:rsidP="00567128">
      <w:pPr>
        <w:pStyle w:val="Listaszerbekezds"/>
        <w:ind w:left="0"/>
        <w:rPr>
          <w:b/>
          <w:sz w:val="24"/>
          <w:szCs w:val="24"/>
        </w:rPr>
      </w:pPr>
    </w:p>
    <w:p w:rsidR="0044369E" w:rsidRPr="00567128" w:rsidRDefault="0044369E" w:rsidP="00567128">
      <w:pPr>
        <w:pStyle w:val="Listaszerbekezds"/>
        <w:ind w:left="0"/>
        <w:jc w:val="both"/>
        <w:rPr>
          <w:b/>
          <w:bCs/>
          <w:iCs/>
          <w:sz w:val="20"/>
          <w:szCs w:val="24"/>
        </w:rPr>
      </w:pPr>
      <w:proofErr w:type="spellStart"/>
      <w:r w:rsidRPr="00567128">
        <w:rPr>
          <w:b/>
          <w:sz w:val="20"/>
          <w:szCs w:val="24"/>
        </w:rPr>
        <w:t>Czagler</w:t>
      </w:r>
      <w:proofErr w:type="spellEnd"/>
      <w:r w:rsidRPr="00567128">
        <w:rPr>
          <w:b/>
          <w:sz w:val="20"/>
          <w:szCs w:val="24"/>
        </w:rPr>
        <w:t xml:space="preserve"> Zsuzsanna</w:t>
      </w:r>
      <w:r w:rsidR="00673D1F" w:rsidRPr="00567128">
        <w:rPr>
          <w:b/>
          <w:sz w:val="20"/>
          <w:szCs w:val="24"/>
        </w:rPr>
        <w:t xml:space="preserve"> </w:t>
      </w:r>
      <w:proofErr w:type="spellStart"/>
      <w:r w:rsidR="009C4376" w:rsidRPr="00567128">
        <w:rPr>
          <w:b/>
          <w:sz w:val="20"/>
          <w:szCs w:val="24"/>
        </w:rPr>
        <w:t>Associate</w:t>
      </w:r>
      <w:proofErr w:type="spellEnd"/>
      <w:r w:rsidR="009C4376" w:rsidRPr="00567128">
        <w:rPr>
          <w:b/>
          <w:sz w:val="20"/>
          <w:szCs w:val="24"/>
        </w:rPr>
        <w:t xml:space="preserve"> </w:t>
      </w:r>
      <w:proofErr w:type="spellStart"/>
      <w:r w:rsidR="009C4376" w:rsidRPr="00567128">
        <w:rPr>
          <w:b/>
          <w:sz w:val="20"/>
          <w:szCs w:val="24"/>
        </w:rPr>
        <w:t>C</w:t>
      </w:r>
      <w:r w:rsidR="00673D1F" w:rsidRPr="00567128">
        <w:rPr>
          <w:b/>
          <w:sz w:val="20"/>
          <w:szCs w:val="24"/>
        </w:rPr>
        <w:t>oach</w:t>
      </w:r>
      <w:proofErr w:type="spellEnd"/>
      <w:r w:rsidRPr="00567128">
        <w:rPr>
          <w:b/>
          <w:sz w:val="20"/>
          <w:szCs w:val="24"/>
        </w:rPr>
        <w:t xml:space="preserve">, </w:t>
      </w:r>
      <w:proofErr w:type="spellStart"/>
      <w:r w:rsidRPr="00567128">
        <w:rPr>
          <w:b/>
          <w:sz w:val="20"/>
          <w:szCs w:val="24"/>
        </w:rPr>
        <w:t>Valued</w:t>
      </w:r>
      <w:proofErr w:type="spellEnd"/>
      <w:r w:rsidRPr="00567128">
        <w:rPr>
          <w:b/>
          <w:sz w:val="20"/>
          <w:szCs w:val="24"/>
        </w:rPr>
        <w:t xml:space="preserve"> </w:t>
      </w:r>
      <w:proofErr w:type="spellStart"/>
      <w:r w:rsidR="00DD1C56" w:rsidRPr="00567128">
        <w:rPr>
          <w:b/>
          <w:sz w:val="20"/>
          <w:szCs w:val="24"/>
        </w:rPr>
        <w:t>Inspired</w:t>
      </w:r>
      <w:proofErr w:type="spellEnd"/>
      <w:r w:rsidR="00DD1C56" w:rsidRPr="00567128">
        <w:rPr>
          <w:b/>
          <w:sz w:val="20"/>
          <w:szCs w:val="24"/>
        </w:rPr>
        <w:t xml:space="preserve"> </w:t>
      </w:r>
      <w:proofErr w:type="spellStart"/>
      <w:r w:rsidR="00DD1C56" w:rsidRPr="00567128">
        <w:rPr>
          <w:b/>
          <w:sz w:val="20"/>
          <w:szCs w:val="24"/>
        </w:rPr>
        <w:t>People</w:t>
      </w:r>
      <w:proofErr w:type="spellEnd"/>
      <w:r w:rsidR="00DD1C56" w:rsidRPr="00567128">
        <w:rPr>
          <w:b/>
          <w:sz w:val="20"/>
          <w:szCs w:val="24"/>
        </w:rPr>
        <w:t xml:space="preserve"> </w:t>
      </w:r>
      <w:proofErr w:type="spellStart"/>
      <w:r w:rsidR="00DD1C56" w:rsidRPr="00567128">
        <w:rPr>
          <w:b/>
          <w:sz w:val="20"/>
          <w:szCs w:val="24"/>
        </w:rPr>
        <w:t>Coaching</w:t>
      </w:r>
      <w:proofErr w:type="spellEnd"/>
      <w:r w:rsidR="00DD1C56" w:rsidRPr="00567128">
        <w:rPr>
          <w:b/>
          <w:sz w:val="20"/>
          <w:szCs w:val="24"/>
        </w:rPr>
        <w:t xml:space="preserve"> Center</w:t>
      </w:r>
      <w:r w:rsidR="00673D1F" w:rsidRPr="00567128">
        <w:rPr>
          <w:b/>
          <w:sz w:val="20"/>
          <w:szCs w:val="24"/>
        </w:rPr>
        <w:t xml:space="preserve"> vezetője</w:t>
      </w:r>
      <w:r w:rsidR="00DD1C56" w:rsidRPr="00567128">
        <w:rPr>
          <w:b/>
          <w:sz w:val="20"/>
          <w:szCs w:val="24"/>
        </w:rPr>
        <w:t xml:space="preserve">: </w:t>
      </w:r>
      <w:r w:rsidRPr="00567128">
        <w:rPr>
          <w:bCs/>
          <w:i/>
          <w:iCs/>
          <w:sz w:val="20"/>
          <w:szCs w:val="24"/>
        </w:rPr>
        <w:t>A „Nem tudom” állapot, mint a jövő újraírási lehetőségének hasznos útirányjelzője</w:t>
      </w:r>
    </w:p>
    <w:p w:rsidR="00052795" w:rsidRPr="00567128" w:rsidRDefault="00052795" w:rsidP="0005279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4"/>
          <w:lang w:eastAsia="hu-HU"/>
        </w:rPr>
      </w:pPr>
      <w:proofErr w:type="spellStart"/>
      <w:r>
        <w:rPr>
          <w:rFonts w:eastAsia="Times New Roman" w:cstheme="minorHAnsi"/>
          <w:sz w:val="20"/>
          <w:szCs w:val="24"/>
          <w:lang w:eastAsia="hu-HU"/>
        </w:rPr>
        <w:t>Coachként</w:t>
      </w:r>
      <w:proofErr w:type="spellEnd"/>
      <w:r>
        <w:rPr>
          <w:rFonts w:eastAsia="Times New Roman" w:cstheme="minorHAnsi"/>
          <w:sz w:val="20"/>
          <w:szCs w:val="24"/>
          <w:lang w:eastAsia="hu-HU"/>
        </w:rPr>
        <w:t xml:space="preserve"> n</w:t>
      </w:r>
      <w:r w:rsidRPr="00567128">
        <w:rPr>
          <w:rFonts w:eastAsia="Times New Roman" w:cstheme="minorHAnsi"/>
          <w:sz w:val="20"/>
          <w:szCs w:val="24"/>
          <w:lang w:eastAsia="hu-HU"/>
        </w:rPr>
        <w:t>agyon sokszor találkozom azzal</w:t>
      </w:r>
      <w:r>
        <w:rPr>
          <w:rFonts w:eastAsia="Times New Roman" w:cstheme="minorHAnsi"/>
          <w:sz w:val="20"/>
          <w:szCs w:val="24"/>
          <w:lang w:eastAsia="hu-HU"/>
        </w:rPr>
        <w:t xml:space="preserve"> a jelenséggel</w:t>
      </w:r>
      <w:r w:rsidRPr="00567128">
        <w:rPr>
          <w:rFonts w:eastAsia="Times New Roman" w:cstheme="minorHAnsi"/>
          <w:sz w:val="20"/>
          <w:szCs w:val="24"/>
          <w:lang w:eastAsia="hu-HU"/>
        </w:rPr>
        <w:t xml:space="preserve">, hogy </w:t>
      </w:r>
      <w:r>
        <w:rPr>
          <w:rFonts w:eastAsia="Times New Roman" w:cstheme="minorHAnsi"/>
          <w:sz w:val="20"/>
          <w:szCs w:val="24"/>
          <w:lang w:eastAsia="hu-HU"/>
        </w:rPr>
        <w:t xml:space="preserve">sok ember mindennapi problémáit a már </w:t>
      </w:r>
      <w:r w:rsidRPr="00567128">
        <w:rPr>
          <w:rFonts w:eastAsia="Times New Roman" w:cstheme="minorHAnsi"/>
          <w:sz w:val="20"/>
          <w:szCs w:val="24"/>
          <w:lang w:eastAsia="hu-HU"/>
        </w:rPr>
        <w:t xml:space="preserve">kialakult viselkedési rutinokkal gondolati és érzelmi sémákkal </w:t>
      </w:r>
      <w:r>
        <w:rPr>
          <w:rFonts w:eastAsia="Times New Roman" w:cstheme="minorHAnsi"/>
          <w:sz w:val="20"/>
          <w:szCs w:val="24"/>
          <w:lang w:eastAsia="hu-HU"/>
        </w:rPr>
        <w:t>oldja meg, majd</w:t>
      </w:r>
      <w:r w:rsidRPr="00567128">
        <w:rPr>
          <w:rFonts w:eastAsia="Times New Roman" w:cstheme="minorHAnsi"/>
          <w:sz w:val="20"/>
          <w:szCs w:val="24"/>
          <w:lang w:eastAsia="hu-HU"/>
        </w:rPr>
        <w:t xml:space="preserve"> egyszer csak rádöbben</w:t>
      </w:r>
      <w:r>
        <w:rPr>
          <w:rFonts w:eastAsia="Times New Roman" w:cstheme="minorHAnsi"/>
          <w:sz w:val="20"/>
          <w:szCs w:val="24"/>
          <w:lang w:eastAsia="hu-HU"/>
        </w:rPr>
        <w:t>, hogy „nem tudom</w:t>
      </w:r>
      <w:r w:rsidRPr="00567128">
        <w:rPr>
          <w:rFonts w:eastAsia="Times New Roman" w:cstheme="minorHAnsi"/>
          <w:sz w:val="20"/>
          <w:szCs w:val="24"/>
          <w:lang w:eastAsia="hu-HU"/>
        </w:rPr>
        <w:t>,</w:t>
      </w:r>
      <w:r>
        <w:rPr>
          <w:rFonts w:eastAsia="Times New Roman" w:cstheme="minorHAnsi"/>
          <w:sz w:val="20"/>
          <w:szCs w:val="24"/>
          <w:lang w:eastAsia="hu-HU"/>
        </w:rPr>
        <w:t xml:space="preserve"> </w:t>
      </w:r>
      <w:r w:rsidRPr="00567128">
        <w:rPr>
          <w:rFonts w:eastAsia="Times New Roman" w:cstheme="minorHAnsi"/>
          <w:sz w:val="20"/>
          <w:szCs w:val="24"/>
          <w:lang w:eastAsia="hu-HU"/>
        </w:rPr>
        <w:t>miért csinálom ezt, vagy nem t</w:t>
      </w:r>
      <w:r>
        <w:rPr>
          <w:rFonts w:eastAsia="Times New Roman" w:cstheme="minorHAnsi"/>
          <w:sz w:val="20"/>
          <w:szCs w:val="24"/>
          <w:lang w:eastAsia="hu-HU"/>
        </w:rPr>
        <w:t>udom, miért nem csinálok valami mást, amit viszont szeretnék.”. Ez az elakadás</w:t>
      </w:r>
      <w:r w:rsidRPr="00567128">
        <w:rPr>
          <w:rFonts w:eastAsia="Times New Roman" w:cstheme="minorHAnsi"/>
          <w:sz w:val="20"/>
          <w:szCs w:val="24"/>
          <w:lang w:eastAsia="hu-HU"/>
        </w:rPr>
        <w:t xml:space="preserve"> akár évekig is </w:t>
      </w:r>
      <w:r>
        <w:rPr>
          <w:rFonts w:eastAsia="Times New Roman" w:cstheme="minorHAnsi"/>
          <w:sz w:val="20"/>
          <w:szCs w:val="24"/>
          <w:lang w:eastAsia="hu-HU"/>
        </w:rPr>
        <w:t xml:space="preserve">tarthat és az érintett </w:t>
      </w:r>
      <w:r w:rsidRPr="00567128">
        <w:rPr>
          <w:rFonts w:eastAsia="Times New Roman" w:cstheme="minorHAnsi"/>
          <w:sz w:val="20"/>
          <w:szCs w:val="24"/>
          <w:lang w:eastAsia="hu-HU"/>
        </w:rPr>
        <w:t>ugyanabban a helyzetben</w:t>
      </w:r>
      <w:r>
        <w:rPr>
          <w:rFonts w:eastAsia="Times New Roman" w:cstheme="minorHAnsi"/>
          <w:sz w:val="20"/>
          <w:szCs w:val="24"/>
          <w:lang w:eastAsia="hu-HU"/>
        </w:rPr>
        <w:t xml:space="preserve"> tipródik</w:t>
      </w:r>
      <w:r w:rsidRPr="00567128">
        <w:rPr>
          <w:rFonts w:eastAsia="Times New Roman" w:cstheme="minorHAnsi"/>
          <w:sz w:val="20"/>
          <w:szCs w:val="24"/>
          <w:lang w:eastAsia="hu-HU"/>
        </w:rPr>
        <w:t>,</w:t>
      </w:r>
      <w:r>
        <w:rPr>
          <w:rFonts w:eastAsia="Times New Roman" w:cstheme="minorHAnsi"/>
          <w:sz w:val="20"/>
          <w:szCs w:val="24"/>
          <w:lang w:eastAsia="hu-HU"/>
        </w:rPr>
        <w:t xml:space="preserve"> aminek</w:t>
      </w:r>
      <w:r w:rsidRPr="00567128">
        <w:rPr>
          <w:rFonts w:eastAsia="Times New Roman" w:cstheme="minorHAnsi"/>
          <w:sz w:val="20"/>
          <w:szCs w:val="24"/>
          <w:lang w:eastAsia="hu-HU"/>
        </w:rPr>
        <w:t xml:space="preserve"> messzemenő negatív következményei is lehetnek.</w:t>
      </w:r>
    </w:p>
    <w:p w:rsidR="00052795" w:rsidRPr="00567128" w:rsidRDefault="00052795" w:rsidP="0005279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4"/>
          <w:lang w:eastAsia="hu-HU"/>
        </w:rPr>
      </w:pPr>
      <w:r w:rsidRPr="00567128">
        <w:rPr>
          <w:rFonts w:eastAsia="Times New Roman" w:cstheme="minorHAnsi"/>
          <w:sz w:val="20"/>
          <w:szCs w:val="24"/>
          <w:lang w:eastAsia="hu-HU"/>
        </w:rPr>
        <w:t xml:space="preserve">De lehet </w:t>
      </w:r>
      <w:r>
        <w:rPr>
          <w:rFonts w:eastAsia="Times New Roman" w:cstheme="minorHAnsi"/>
          <w:sz w:val="20"/>
          <w:szCs w:val="24"/>
          <w:lang w:eastAsia="hu-HU"/>
        </w:rPr>
        <w:t xml:space="preserve">egy helyzethez </w:t>
      </w:r>
      <w:r w:rsidRPr="00567128">
        <w:rPr>
          <w:rFonts w:eastAsia="Times New Roman" w:cstheme="minorHAnsi"/>
          <w:sz w:val="20"/>
          <w:szCs w:val="24"/>
          <w:lang w:eastAsia="hu-HU"/>
        </w:rPr>
        <w:t>kíváncsian közelíteni, mint valami felfedezni-, megfejte</w:t>
      </w:r>
      <w:r>
        <w:rPr>
          <w:rFonts w:eastAsia="Times New Roman" w:cstheme="minorHAnsi"/>
          <w:sz w:val="20"/>
          <w:szCs w:val="24"/>
          <w:lang w:eastAsia="hu-HU"/>
        </w:rPr>
        <w:t>nivaló újdonságot. Közben rá</w:t>
      </w:r>
      <w:r w:rsidRPr="00567128">
        <w:rPr>
          <w:rFonts w:eastAsia="Times New Roman" w:cstheme="minorHAnsi"/>
          <w:sz w:val="20"/>
          <w:szCs w:val="24"/>
          <w:lang w:eastAsia="hu-HU"/>
        </w:rPr>
        <w:t xml:space="preserve">jönni, hogy </w:t>
      </w:r>
      <w:r>
        <w:rPr>
          <w:rFonts w:eastAsia="Times New Roman" w:cstheme="minorHAnsi"/>
          <w:sz w:val="20"/>
          <w:szCs w:val="24"/>
          <w:lang w:eastAsia="hu-HU"/>
        </w:rPr>
        <w:t xml:space="preserve">mit szolgált, mi volt az eredeti célja </w:t>
      </w:r>
      <w:r w:rsidRPr="00567128">
        <w:rPr>
          <w:rFonts w:eastAsia="Times New Roman" w:cstheme="minorHAnsi"/>
          <w:sz w:val="20"/>
          <w:szCs w:val="24"/>
          <w:lang w:eastAsia="hu-HU"/>
        </w:rPr>
        <w:t xml:space="preserve">a </w:t>
      </w:r>
      <w:r>
        <w:rPr>
          <w:rFonts w:eastAsia="Times New Roman" w:cstheme="minorHAnsi"/>
          <w:sz w:val="20"/>
          <w:szCs w:val="24"/>
          <w:lang w:eastAsia="hu-HU"/>
        </w:rPr>
        <w:t>rutin viselkedésnek és elgondolkodni azon, hogy „</w:t>
      </w:r>
      <w:r w:rsidRPr="00567128">
        <w:rPr>
          <w:rFonts w:eastAsia="Times New Roman" w:cstheme="minorHAnsi"/>
          <w:sz w:val="20"/>
          <w:szCs w:val="24"/>
          <w:lang w:eastAsia="hu-HU"/>
        </w:rPr>
        <w:t>MIÉRT is csinálom, amit csinálok</w:t>
      </w:r>
      <w:r>
        <w:rPr>
          <w:rFonts w:eastAsia="Times New Roman" w:cstheme="minorHAnsi"/>
          <w:sz w:val="20"/>
          <w:szCs w:val="24"/>
          <w:lang w:eastAsia="hu-HU"/>
        </w:rPr>
        <w:t>”</w:t>
      </w:r>
      <w:r w:rsidRPr="00567128">
        <w:rPr>
          <w:rFonts w:eastAsia="Times New Roman" w:cstheme="minorHAnsi"/>
          <w:sz w:val="20"/>
          <w:szCs w:val="24"/>
          <w:lang w:eastAsia="hu-HU"/>
        </w:rPr>
        <w:t xml:space="preserve">. </w:t>
      </w:r>
      <w:r>
        <w:rPr>
          <w:rFonts w:eastAsia="Times New Roman" w:cstheme="minorHAnsi"/>
          <w:sz w:val="20"/>
          <w:szCs w:val="24"/>
          <w:lang w:eastAsia="hu-HU"/>
        </w:rPr>
        <w:t xml:space="preserve">E felismerés révén </w:t>
      </w:r>
      <w:r w:rsidRPr="00567128">
        <w:rPr>
          <w:rFonts w:eastAsia="Times New Roman" w:cstheme="minorHAnsi"/>
          <w:sz w:val="20"/>
          <w:szCs w:val="24"/>
          <w:lang w:eastAsia="hu-HU"/>
        </w:rPr>
        <w:t xml:space="preserve">hirtelen kitárul egy másik világ: </w:t>
      </w:r>
      <w:r>
        <w:rPr>
          <w:rFonts w:eastAsia="Times New Roman" w:cstheme="minorHAnsi"/>
          <w:sz w:val="20"/>
          <w:szCs w:val="24"/>
          <w:lang w:eastAsia="hu-HU"/>
        </w:rPr>
        <w:t xml:space="preserve">az érintett </w:t>
      </w:r>
      <w:r w:rsidRPr="00567128">
        <w:rPr>
          <w:rFonts w:eastAsia="Times New Roman" w:cstheme="minorHAnsi"/>
          <w:sz w:val="20"/>
          <w:szCs w:val="24"/>
          <w:lang w:eastAsia="hu-HU"/>
        </w:rPr>
        <w:t>rájö</w:t>
      </w:r>
      <w:r>
        <w:rPr>
          <w:rFonts w:eastAsia="Times New Roman" w:cstheme="minorHAnsi"/>
          <w:sz w:val="20"/>
          <w:szCs w:val="24"/>
          <w:lang w:eastAsia="hu-HU"/>
        </w:rPr>
        <w:t>n arra</w:t>
      </w:r>
      <w:r w:rsidRPr="00567128">
        <w:rPr>
          <w:rFonts w:eastAsia="Times New Roman" w:cstheme="minorHAnsi"/>
          <w:sz w:val="20"/>
          <w:szCs w:val="24"/>
          <w:lang w:eastAsia="hu-HU"/>
        </w:rPr>
        <w:t xml:space="preserve">, hogy ha akar, akkor érzelmileg, gondolatilag tud </w:t>
      </w:r>
      <w:r>
        <w:rPr>
          <w:rFonts w:eastAsia="Times New Roman" w:cstheme="minorHAnsi"/>
          <w:sz w:val="20"/>
          <w:szCs w:val="24"/>
          <w:lang w:eastAsia="hu-HU"/>
        </w:rPr>
        <w:t>másként</w:t>
      </w:r>
      <w:r w:rsidRPr="00567128">
        <w:rPr>
          <w:rFonts w:eastAsia="Times New Roman" w:cstheme="minorHAnsi"/>
          <w:sz w:val="20"/>
          <w:szCs w:val="24"/>
          <w:lang w:eastAsia="hu-HU"/>
        </w:rPr>
        <w:t xml:space="preserve"> viszonyulni </w:t>
      </w:r>
      <w:r>
        <w:rPr>
          <w:rFonts w:eastAsia="Times New Roman" w:cstheme="minorHAnsi"/>
          <w:sz w:val="20"/>
          <w:szCs w:val="24"/>
          <w:lang w:eastAsia="hu-HU"/>
        </w:rPr>
        <w:t xml:space="preserve">és </w:t>
      </w:r>
      <w:r w:rsidRPr="00567128">
        <w:rPr>
          <w:rFonts w:eastAsia="Times New Roman" w:cstheme="minorHAnsi"/>
          <w:sz w:val="20"/>
          <w:szCs w:val="24"/>
          <w:lang w:eastAsia="hu-HU"/>
        </w:rPr>
        <w:t>másként viselkedni a</w:t>
      </w:r>
      <w:r>
        <w:rPr>
          <w:rFonts w:eastAsia="Times New Roman" w:cstheme="minorHAnsi"/>
          <w:sz w:val="20"/>
          <w:szCs w:val="24"/>
          <w:lang w:eastAsia="hu-HU"/>
        </w:rPr>
        <w:t>z adott</w:t>
      </w:r>
      <w:r w:rsidRPr="00567128">
        <w:rPr>
          <w:rFonts w:eastAsia="Times New Roman" w:cstheme="minorHAnsi"/>
          <w:sz w:val="20"/>
          <w:szCs w:val="24"/>
          <w:lang w:eastAsia="hu-HU"/>
        </w:rPr>
        <w:t xml:space="preserve"> helyzet</w:t>
      </w:r>
      <w:r>
        <w:rPr>
          <w:rFonts w:eastAsia="Times New Roman" w:cstheme="minorHAnsi"/>
          <w:sz w:val="20"/>
          <w:szCs w:val="24"/>
          <w:lang w:eastAsia="hu-HU"/>
        </w:rPr>
        <w:t>ben.</w:t>
      </w:r>
      <w:r w:rsidRPr="00567128">
        <w:rPr>
          <w:rFonts w:eastAsia="Times New Roman" w:cstheme="minorHAnsi"/>
          <w:sz w:val="20"/>
          <w:szCs w:val="24"/>
          <w:lang w:eastAsia="hu-HU"/>
        </w:rPr>
        <w:t xml:space="preserve"> Ekkor máris megváltoztatható</w:t>
      </w:r>
      <w:r>
        <w:rPr>
          <w:rFonts w:eastAsia="Times New Roman" w:cstheme="minorHAnsi"/>
          <w:sz w:val="20"/>
          <w:szCs w:val="24"/>
          <w:lang w:eastAsia="hu-HU"/>
        </w:rPr>
        <w:t>nak látszik a jövő, kijöhet a mókuskerékből és újraírhatja élete</w:t>
      </w:r>
      <w:r w:rsidRPr="00567128">
        <w:rPr>
          <w:rFonts w:eastAsia="Times New Roman" w:cstheme="minorHAnsi"/>
          <w:sz w:val="20"/>
          <w:szCs w:val="24"/>
          <w:lang w:eastAsia="hu-HU"/>
        </w:rPr>
        <w:t xml:space="preserve"> további menetét.</w:t>
      </w:r>
    </w:p>
    <w:p w:rsidR="00052795" w:rsidRPr="00567128" w:rsidRDefault="00052795" w:rsidP="0005279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hu-HU"/>
        </w:rPr>
      </w:pPr>
      <w:r>
        <w:rPr>
          <w:rFonts w:eastAsia="Times New Roman" w:cstheme="minorHAnsi"/>
          <w:sz w:val="20"/>
          <w:szCs w:val="20"/>
          <w:lang w:eastAsia="hu-HU"/>
        </w:rPr>
        <w:t>A szekcióelőadás n</w:t>
      </w:r>
      <w:r w:rsidRPr="00567128">
        <w:rPr>
          <w:rFonts w:eastAsia="Times New Roman" w:cstheme="minorHAnsi"/>
          <w:sz w:val="20"/>
          <w:szCs w:val="20"/>
          <w:lang w:eastAsia="hu-HU"/>
        </w:rPr>
        <w:t>éhány magánéleti és</w:t>
      </w:r>
      <w:r>
        <w:rPr>
          <w:rFonts w:eastAsia="Times New Roman" w:cstheme="minorHAnsi"/>
          <w:sz w:val="20"/>
          <w:szCs w:val="20"/>
          <w:lang w:eastAsia="hu-HU"/>
        </w:rPr>
        <w:t xml:space="preserve"> munkahelyi esettel illusztrálja</w:t>
      </w:r>
      <w:r w:rsidRPr="00567128">
        <w:rPr>
          <w:rFonts w:eastAsia="Times New Roman" w:cstheme="minorHAnsi"/>
          <w:sz w:val="20"/>
          <w:szCs w:val="20"/>
          <w:lang w:eastAsia="hu-HU"/>
        </w:rPr>
        <w:t>, hogy mi</w:t>
      </w:r>
      <w:r>
        <w:rPr>
          <w:rFonts w:eastAsia="Times New Roman" w:cstheme="minorHAnsi"/>
          <w:sz w:val="20"/>
          <w:szCs w:val="20"/>
          <w:lang w:eastAsia="hu-HU"/>
        </w:rPr>
        <w:t>lyen következményei lehetnek az</w:t>
      </w:r>
      <w:r w:rsidRPr="00567128">
        <w:rPr>
          <w:rFonts w:eastAsia="Times New Roman" w:cstheme="minorHAnsi"/>
          <w:sz w:val="20"/>
          <w:szCs w:val="20"/>
          <w:lang w:eastAsia="hu-HU"/>
        </w:rPr>
        <w:t xml:space="preserve"> </w:t>
      </w:r>
      <w:r>
        <w:rPr>
          <w:rFonts w:eastAsia="Times New Roman" w:cstheme="minorHAnsi"/>
          <w:sz w:val="20"/>
          <w:szCs w:val="20"/>
          <w:lang w:eastAsia="hu-HU"/>
        </w:rPr>
        <w:t>„</w:t>
      </w:r>
      <w:r w:rsidRPr="00567128">
        <w:rPr>
          <w:rFonts w:eastAsia="Times New Roman" w:cstheme="minorHAnsi"/>
          <w:sz w:val="20"/>
          <w:szCs w:val="20"/>
          <w:lang w:eastAsia="hu-HU"/>
        </w:rPr>
        <w:t>elhessegetős</w:t>
      </w:r>
      <w:r>
        <w:rPr>
          <w:rFonts w:eastAsia="Times New Roman" w:cstheme="minorHAnsi"/>
          <w:sz w:val="20"/>
          <w:szCs w:val="20"/>
          <w:lang w:eastAsia="hu-HU"/>
        </w:rPr>
        <w:t>”</w:t>
      </w:r>
      <w:r w:rsidRPr="00567128">
        <w:rPr>
          <w:rFonts w:eastAsia="Times New Roman" w:cstheme="minorHAnsi"/>
          <w:sz w:val="20"/>
          <w:szCs w:val="20"/>
          <w:lang w:eastAsia="hu-HU"/>
        </w:rPr>
        <w:t xml:space="preserve"> vagy </w:t>
      </w:r>
      <w:r>
        <w:rPr>
          <w:rFonts w:eastAsia="Times New Roman" w:cstheme="minorHAnsi"/>
          <w:sz w:val="20"/>
          <w:szCs w:val="20"/>
          <w:lang w:eastAsia="hu-HU"/>
        </w:rPr>
        <w:t>a</w:t>
      </w:r>
      <w:r w:rsidRPr="00567128">
        <w:rPr>
          <w:rFonts w:eastAsia="Times New Roman" w:cstheme="minorHAnsi"/>
          <w:sz w:val="20"/>
          <w:szCs w:val="20"/>
          <w:lang w:eastAsia="hu-HU"/>
        </w:rPr>
        <w:t xml:space="preserve"> </w:t>
      </w:r>
      <w:r>
        <w:rPr>
          <w:rFonts w:eastAsia="Times New Roman" w:cstheme="minorHAnsi"/>
          <w:sz w:val="20"/>
          <w:szCs w:val="20"/>
          <w:lang w:eastAsia="hu-HU"/>
        </w:rPr>
        <w:t xml:space="preserve">„kíváncsi” </w:t>
      </w:r>
      <w:r w:rsidRPr="00567128">
        <w:rPr>
          <w:rFonts w:eastAsia="Times New Roman" w:cstheme="minorHAnsi"/>
          <w:sz w:val="20"/>
          <w:szCs w:val="20"/>
          <w:lang w:eastAsia="hu-HU"/>
        </w:rPr>
        <w:t>h</w:t>
      </w:r>
      <w:r>
        <w:rPr>
          <w:rFonts w:eastAsia="Times New Roman" w:cstheme="minorHAnsi"/>
          <w:sz w:val="20"/>
          <w:szCs w:val="20"/>
          <w:lang w:eastAsia="hu-HU"/>
        </w:rPr>
        <w:t>ozzáállásnak. Bemutatja</w:t>
      </w:r>
      <w:r w:rsidRPr="00567128">
        <w:rPr>
          <w:rFonts w:eastAsia="Times New Roman" w:cstheme="minorHAnsi"/>
          <w:sz w:val="20"/>
          <w:szCs w:val="20"/>
          <w:lang w:eastAsia="hu-HU"/>
        </w:rPr>
        <w:t xml:space="preserve">, hogy munkahelyi környezetben milyen egyszerű eszközzel lehet a tudatosítást meggyorsítani. </w:t>
      </w:r>
    </w:p>
    <w:p w:rsidR="001E37D6" w:rsidRPr="00567128" w:rsidRDefault="00052795" w:rsidP="0005279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hu-HU"/>
        </w:rPr>
      </w:pPr>
      <w:r w:rsidRPr="00567128">
        <w:rPr>
          <w:rFonts w:eastAsia="Times New Roman" w:cstheme="minorHAnsi"/>
          <w:sz w:val="20"/>
          <w:szCs w:val="20"/>
          <w:lang w:eastAsia="hu-HU"/>
        </w:rPr>
        <w:t xml:space="preserve">A „nem tudás” tényének </w:t>
      </w:r>
      <w:r>
        <w:rPr>
          <w:rFonts w:eastAsia="Times New Roman" w:cstheme="minorHAnsi"/>
          <w:sz w:val="20"/>
          <w:szCs w:val="20"/>
          <w:lang w:eastAsia="hu-HU"/>
        </w:rPr>
        <w:t>f</w:t>
      </w:r>
      <w:r w:rsidRPr="00567128">
        <w:rPr>
          <w:rFonts w:eastAsia="Times New Roman" w:cstheme="minorHAnsi"/>
          <w:sz w:val="20"/>
          <w:szCs w:val="20"/>
          <w:lang w:eastAsia="hu-HU"/>
        </w:rPr>
        <w:t xml:space="preserve">elismerése és ehhez </w:t>
      </w:r>
      <w:r>
        <w:rPr>
          <w:rFonts w:eastAsia="Times New Roman" w:cstheme="minorHAnsi"/>
          <w:sz w:val="20"/>
          <w:szCs w:val="20"/>
          <w:lang w:eastAsia="hu-HU"/>
        </w:rPr>
        <w:t xml:space="preserve">történő </w:t>
      </w:r>
      <w:r w:rsidRPr="00567128">
        <w:rPr>
          <w:rFonts w:eastAsia="Times New Roman" w:cstheme="minorHAnsi"/>
          <w:sz w:val="20"/>
          <w:szCs w:val="20"/>
          <w:lang w:eastAsia="hu-HU"/>
        </w:rPr>
        <w:t>kíváncsi viszonyulás a kulcs ahhoz, hogy változtathassunk</w:t>
      </w:r>
      <w:r>
        <w:rPr>
          <w:rFonts w:eastAsia="Times New Roman" w:cstheme="minorHAnsi"/>
          <w:sz w:val="20"/>
          <w:szCs w:val="20"/>
          <w:lang w:eastAsia="hu-HU"/>
        </w:rPr>
        <w:t xml:space="preserve"> és jobbá tegyük életünket, sikeresebbek legyünk a munkában.</w:t>
      </w:r>
    </w:p>
    <w:p w:rsidR="00567128" w:rsidRDefault="00567128" w:rsidP="001E37D6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hu-HU"/>
        </w:rPr>
        <w:sectPr w:rsidR="00567128" w:rsidSect="00567128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:rsidR="00722158" w:rsidRPr="001E37D6" w:rsidRDefault="00722158" w:rsidP="001E37D6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484FF4" w:rsidRDefault="00484FF4">
      <w:pPr>
        <w:spacing w:before="100" w:beforeAutospacing="1" w:after="100" w:afterAutospacing="1" w:line="240" w:lineRule="auto"/>
        <w:ind w:hanging="357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84AC0" w:rsidRPr="006E1013" w:rsidRDefault="00016456" w:rsidP="00016456">
      <w:pPr>
        <w:jc w:val="center"/>
        <w:rPr>
          <w:b/>
          <w:sz w:val="24"/>
          <w:szCs w:val="24"/>
        </w:rPr>
      </w:pPr>
      <w:r w:rsidRPr="006E1013">
        <w:rPr>
          <w:b/>
          <w:sz w:val="24"/>
          <w:szCs w:val="24"/>
        </w:rPr>
        <w:lastRenderedPageBreak/>
        <w:t>2. szekció: A nemtudás különböző nézőpontból</w:t>
      </w:r>
    </w:p>
    <w:p w:rsidR="009C4376" w:rsidRPr="006E1013" w:rsidRDefault="00684AC0" w:rsidP="001D4924">
      <w:pPr>
        <w:rPr>
          <w:i/>
          <w:sz w:val="20"/>
          <w:szCs w:val="20"/>
        </w:rPr>
      </w:pPr>
      <w:r w:rsidRPr="006E1013">
        <w:rPr>
          <w:b/>
          <w:sz w:val="20"/>
          <w:szCs w:val="20"/>
        </w:rPr>
        <w:t xml:space="preserve">Vezeti: </w:t>
      </w:r>
      <w:proofErr w:type="spellStart"/>
      <w:r w:rsidR="00B93D0E">
        <w:rPr>
          <w:b/>
          <w:sz w:val="20"/>
          <w:szCs w:val="20"/>
        </w:rPr>
        <w:t>Kraiciné</w:t>
      </w:r>
      <w:proofErr w:type="spellEnd"/>
      <w:r w:rsidR="00B93D0E">
        <w:rPr>
          <w:b/>
          <w:sz w:val="20"/>
          <w:szCs w:val="20"/>
        </w:rPr>
        <w:t xml:space="preserve"> </w:t>
      </w:r>
      <w:proofErr w:type="spellStart"/>
      <w:r w:rsidR="009C4376" w:rsidRPr="006E1013">
        <w:rPr>
          <w:b/>
          <w:sz w:val="20"/>
          <w:szCs w:val="20"/>
        </w:rPr>
        <w:t>Szokoly</w:t>
      </w:r>
      <w:proofErr w:type="spellEnd"/>
      <w:r w:rsidR="009C4376" w:rsidRPr="006E1013">
        <w:rPr>
          <w:b/>
          <w:sz w:val="20"/>
          <w:szCs w:val="20"/>
        </w:rPr>
        <w:t xml:space="preserve"> Mária, c. egyetemi docens, ELTE PPK</w:t>
      </w:r>
      <w:r w:rsidR="00387080" w:rsidRPr="006E1013">
        <w:rPr>
          <w:b/>
          <w:sz w:val="20"/>
          <w:szCs w:val="20"/>
        </w:rPr>
        <w:t xml:space="preserve">: </w:t>
      </w:r>
      <w:r w:rsidR="00387080" w:rsidRPr="006E1013">
        <w:rPr>
          <w:i/>
          <w:sz w:val="20"/>
          <w:szCs w:val="20"/>
        </w:rPr>
        <w:t>A nemtudás jelensége különböző nézőpontból</w:t>
      </w:r>
    </w:p>
    <w:p w:rsidR="009C4376" w:rsidRPr="006E1013" w:rsidRDefault="009C4376" w:rsidP="009C4376">
      <w:pPr>
        <w:jc w:val="both"/>
        <w:rPr>
          <w:i/>
          <w:sz w:val="20"/>
          <w:szCs w:val="20"/>
        </w:rPr>
      </w:pPr>
      <w:r w:rsidRPr="006E1013">
        <w:rPr>
          <w:i/>
          <w:sz w:val="20"/>
          <w:szCs w:val="20"/>
        </w:rPr>
        <w:t xml:space="preserve">A tudás mibenlétének, a tanulás hatékonyabbá tételének kérdése napjainkban számos tudományterület számára vet fel kutatási kérdéseket, miközben e kérdésekre sürgető válaszokat vár a gazdaság, amelynek köztudottan a felnőttkori tanulás, a munkavállalók folyamatos megújulási képessége jelenti a legfőbb erőforrást.  Számos nemzetközi összehasonlító kutatás és mérés azt mutatja, hogy Magyarország mind az élethosszig tartó tanulás, így a felnőttképzés vonatkozásában, mind a munka világában fontos alapképességek és kulcskompetenciák tekintetében a nemzetközi mezőny végén kullog, annak ellenére, hogy az elmúlt évtizedben számos dokumentum hívta fel a figyelmet e jelenség veszélyeire és jelentős pályázati forrásokat fordítottak a felnőttoktatás és -képzés fellendítésére, kiemelten a hátrányos helyzetű és alulképzett társadalmi csoportok felzárkóztatására. E szekciómunka keretében a nemtudás kérdéskörét három különböző, de kiemelkedően fontos nézőpontból vizsgáljuk: a munkaerőpiac elvárásaiból kiindulva érintjük az akadályozottsággal küzdő csoportok sajátosságait, végül az andragógia kutatás aspektusából kitekintünk a nemtudás mint erőforrás fogalmára, tartalmára. </w:t>
      </w:r>
    </w:p>
    <w:p w:rsidR="009C4376" w:rsidRPr="006E1013" w:rsidRDefault="009C4376" w:rsidP="001D4924">
      <w:pPr>
        <w:rPr>
          <w:b/>
          <w:sz w:val="20"/>
          <w:szCs w:val="20"/>
        </w:rPr>
      </w:pPr>
    </w:p>
    <w:p w:rsidR="006E1013" w:rsidRDefault="006E1013" w:rsidP="00016456">
      <w:pPr>
        <w:pStyle w:val="Listaszerbekezds"/>
        <w:numPr>
          <w:ilvl w:val="0"/>
          <w:numId w:val="7"/>
        </w:numPr>
        <w:spacing w:line="276" w:lineRule="auto"/>
        <w:ind w:left="709" w:hanging="284"/>
        <w:jc w:val="both"/>
        <w:rPr>
          <w:b/>
          <w:sz w:val="20"/>
          <w:szCs w:val="20"/>
        </w:rPr>
        <w:sectPr w:rsidR="006E1013" w:rsidSect="00567128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016456" w:rsidRPr="006E1013" w:rsidRDefault="00016456" w:rsidP="006E1013">
      <w:pPr>
        <w:spacing w:line="276" w:lineRule="auto"/>
        <w:jc w:val="both"/>
        <w:rPr>
          <w:b/>
          <w:sz w:val="20"/>
          <w:szCs w:val="20"/>
        </w:rPr>
      </w:pPr>
      <w:proofErr w:type="spellStart"/>
      <w:r w:rsidRPr="006E1013">
        <w:rPr>
          <w:b/>
          <w:sz w:val="20"/>
          <w:szCs w:val="20"/>
        </w:rPr>
        <w:t>Felméry</w:t>
      </w:r>
      <w:proofErr w:type="spellEnd"/>
      <w:r w:rsidRPr="006E1013">
        <w:rPr>
          <w:b/>
          <w:sz w:val="20"/>
          <w:szCs w:val="20"/>
        </w:rPr>
        <w:t xml:space="preserve"> Krisztina, </w:t>
      </w:r>
      <w:proofErr w:type="spellStart"/>
      <w:r w:rsidRPr="006E1013">
        <w:rPr>
          <w:b/>
          <w:sz w:val="20"/>
          <w:szCs w:val="20"/>
        </w:rPr>
        <w:t>Academic</w:t>
      </w:r>
      <w:proofErr w:type="spellEnd"/>
      <w:r w:rsidRPr="006E1013">
        <w:rPr>
          <w:b/>
          <w:sz w:val="20"/>
          <w:szCs w:val="20"/>
        </w:rPr>
        <w:t xml:space="preserve"> Relations &amp; </w:t>
      </w:r>
      <w:proofErr w:type="spellStart"/>
      <w:r w:rsidRPr="006E1013">
        <w:rPr>
          <w:b/>
          <w:sz w:val="20"/>
          <w:szCs w:val="20"/>
        </w:rPr>
        <w:t>Employer</w:t>
      </w:r>
      <w:proofErr w:type="spellEnd"/>
      <w:r w:rsidRPr="006E1013">
        <w:rPr>
          <w:b/>
          <w:sz w:val="20"/>
          <w:szCs w:val="20"/>
        </w:rPr>
        <w:t xml:space="preserve"> </w:t>
      </w:r>
      <w:proofErr w:type="spellStart"/>
      <w:r w:rsidRPr="006E1013">
        <w:rPr>
          <w:b/>
          <w:sz w:val="20"/>
          <w:szCs w:val="20"/>
        </w:rPr>
        <w:t>Branding</w:t>
      </w:r>
      <w:proofErr w:type="spellEnd"/>
      <w:r w:rsidRPr="006E1013">
        <w:rPr>
          <w:b/>
          <w:sz w:val="20"/>
          <w:szCs w:val="20"/>
        </w:rPr>
        <w:t xml:space="preserve"> Lead, TATA </w:t>
      </w:r>
      <w:proofErr w:type="spellStart"/>
      <w:r w:rsidRPr="006E1013">
        <w:rPr>
          <w:b/>
          <w:sz w:val="20"/>
          <w:szCs w:val="20"/>
        </w:rPr>
        <w:t>Consultancy</w:t>
      </w:r>
      <w:proofErr w:type="spellEnd"/>
      <w:r w:rsidRPr="006E1013">
        <w:rPr>
          <w:b/>
          <w:sz w:val="20"/>
          <w:szCs w:val="20"/>
        </w:rPr>
        <w:t xml:space="preserve"> </w:t>
      </w:r>
      <w:proofErr w:type="spellStart"/>
      <w:r w:rsidRPr="006E1013">
        <w:rPr>
          <w:b/>
          <w:sz w:val="20"/>
          <w:szCs w:val="20"/>
        </w:rPr>
        <w:t>Services</w:t>
      </w:r>
      <w:proofErr w:type="spellEnd"/>
      <w:r w:rsidRPr="006E1013">
        <w:rPr>
          <w:b/>
          <w:sz w:val="20"/>
          <w:szCs w:val="20"/>
        </w:rPr>
        <w:t xml:space="preserve"> Hungary: Tanulás, tudás, változás a munkaerő-piacon</w:t>
      </w:r>
    </w:p>
    <w:p w:rsidR="00016456" w:rsidRPr="006E1013" w:rsidRDefault="00016456" w:rsidP="006E101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E1013">
        <w:rPr>
          <w:rFonts w:cstheme="minorHAnsi"/>
          <w:sz w:val="20"/>
          <w:szCs w:val="20"/>
        </w:rPr>
        <w:t xml:space="preserve">Az előadás a munkavállalók és álláskeresők „nemtudás” problémáját egy multikulturális szervezet szemszögéből járja körül. Mit igényelnek a mai szervezetek: kész tudással rendelkező munkatársat vagy inkább maguk szeretnék fejleszteni a szükséges kompetenciákat? Milyen különbség van a szervezeti hierarchiában elfoglalt hely alapján a tudáshoz kapcsolódó elvárásokra vonatkozóan? A téma feldolgozása érinti az állásbörzéken és interjúkon tapasztalt „tudás-nemtudás” területeit, kitér arra, hogy mit lenne érdemes tudni állásra történő jelentkezés esetén, </w:t>
      </w:r>
      <w:proofErr w:type="gramStart"/>
      <w:r w:rsidRPr="006E1013">
        <w:rPr>
          <w:rFonts w:cstheme="minorHAnsi"/>
          <w:sz w:val="20"/>
          <w:szCs w:val="20"/>
        </w:rPr>
        <w:t>illetve</w:t>
      </w:r>
      <w:proofErr w:type="gramEnd"/>
      <w:r w:rsidRPr="006E1013">
        <w:rPr>
          <w:rFonts w:cstheme="minorHAnsi"/>
          <w:sz w:val="20"/>
          <w:szCs w:val="20"/>
        </w:rPr>
        <w:t xml:space="preserve"> hogy a jelentkezők miként kezeljék a </w:t>
      </w:r>
      <w:proofErr w:type="spellStart"/>
      <w:r w:rsidRPr="006E1013">
        <w:rPr>
          <w:rFonts w:cstheme="minorHAnsi"/>
          <w:sz w:val="20"/>
          <w:szCs w:val="20"/>
        </w:rPr>
        <w:t>recruiter</w:t>
      </w:r>
      <w:proofErr w:type="spellEnd"/>
      <w:r w:rsidRPr="006E1013">
        <w:rPr>
          <w:rFonts w:cstheme="minorHAnsi"/>
          <w:sz w:val="20"/>
          <w:szCs w:val="20"/>
        </w:rPr>
        <w:t xml:space="preserve"> (nem)tudásra vonatkozó kérdéseit.</w:t>
      </w:r>
    </w:p>
    <w:p w:rsidR="00016456" w:rsidRPr="006E1013" w:rsidRDefault="00016456" w:rsidP="00016456">
      <w:p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 w:val="20"/>
          <w:szCs w:val="20"/>
          <w:lang w:eastAsia="hu-HU"/>
        </w:rPr>
      </w:pPr>
    </w:p>
    <w:p w:rsidR="001D4924" w:rsidRPr="006E1013" w:rsidRDefault="004006FD" w:rsidP="006E1013">
      <w:pPr>
        <w:spacing w:line="276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Dunás-</w:t>
      </w:r>
      <w:r w:rsidR="00DD1C56" w:rsidRPr="006E1013">
        <w:rPr>
          <w:rFonts w:cstheme="minorHAnsi"/>
          <w:b/>
          <w:sz w:val="20"/>
          <w:szCs w:val="20"/>
        </w:rPr>
        <w:t xml:space="preserve">Varga Ildikó </w:t>
      </w:r>
      <w:r w:rsidR="001D4924" w:rsidRPr="006E1013">
        <w:rPr>
          <w:b/>
          <w:sz w:val="20"/>
          <w:szCs w:val="20"/>
        </w:rPr>
        <w:t xml:space="preserve">ELTE PPK emberi erőforrás tanácsadó szakos hallgató és Kármán Bianka ELTE </w:t>
      </w:r>
      <w:proofErr w:type="spellStart"/>
      <w:r w:rsidR="001D4924" w:rsidRPr="006E1013">
        <w:rPr>
          <w:b/>
          <w:sz w:val="20"/>
          <w:szCs w:val="20"/>
        </w:rPr>
        <w:t>BGGyK</w:t>
      </w:r>
      <w:proofErr w:type="spellEnd"/>
      <w:r w:rsidR="00DD1C56" w:rsidRPr="006E1013">
        <w:rPr>
          <w:b/>
          <w:sz w:val="20"/>
          <w:szCs w:val="20"/>
        </w:rPr>
        <w:t xml:space="preserve"> egyetemi tanársegéd</w:t>
      </w:r>
      <w:r w:rsidR="001D4924" w:rsidRPr="006E1013">
        <w:rPr>
          <w:b/>
          <w:sz w:val="20"/>
          <w:szCs w:val="20"/>
        </w:rPr>
        <w:t xml:space="preserve">: Az akadályozottság dimenziói a nemtudás </w:t>
      </w:r>
      <w:r w:rsidR="00DD1C56" w:rsidRPr="006E1013">
        <w:rPr>
          <w:b/>
          <w:sz w:val="20"/>
          <w:szCs w:val="20"/>
        </w:rPr>
        <w:t>mezsgyéjén</w:t>
      </w:r>
    </w:p>
    <w:p w:rsidR="00684AC0" w:rsidRPr="006E1013" w:rsidRDefault="001D4924" w:rsidP="006E101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E1013">
        <w:rPr>
          <w:rFonts w:cstheme="minorHAnsi"/>
          <w:sz w:val="20"/>
          <w:szCs w:val="20"/>
        </w:rPr>
        <w:t>Az előadás közérthető módon reflektál</w:t>
      </w:r>
      <w:r w:rsidR="00684AC0" w:rsidRPr="006E1013">
        <w:rPr>
          <w:rFonts w:cstheme="minorHAnsi"/>
          <w:sz w:val="20"/>
          <w:szCs w:val="20"/>
        </w:rPr>
        <w:t xml:space="preserve"> a 2007-ben Magyarország által ratifikált, a fogyatékossággal élő személyek jogairól szóló ENSZ-egyezményre, amely emberi jogi </w:t>
      </w:r>
      <w:r w:rsidR="00684AC0" w:rsidRPr="006E1013">
        <w:rPr>
          <w:rFonts w:cstheme="minorHAnsi"/>
          <w:sz w:val="20"/>
          <w:szCs w:val="20"/>
        </w:rPr>
        <w:t xml:space="preserve">megközelítéssel az akadályozottságot a társadalmi szerepvállalás mentén azonosítja. Tapasztalati szakértő vendégeink hozzászólásai gyakorlati szinten értelmezik az egyezmény egyéni és társadalmi hatását.  </w:t>
      </w:r>
    </w:p>
    <w:p w:rsidR="00DD1C56" w:rsidRPr="006E1013" w:rsidRDefault="00684AC0" w:rsidP="006E101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E1013">
        <w:rPr>
          <w:rFonts w:cstheme="minorHAnsi"/>
          <w:sz w:val="20"/>
          <w:szCs w:val="20"/>
        </w:rPr>
        <w:t>A szekció érinti a felnőttoktatás, a szakképzés, valamint a munkavállalás kérdéskörét, az elfogadás fontosságát, a fogyatékosság fogalmán túllépve a hallgatóság bevonásával diskurzust tervezünk az akadályozottság és a „nemtudás” értelmezéséről, kapcsolatáról, a felnőttkori tanulással foglalkozó szakemberek feladatairól és lehetőségeiről.</w:t>
      </w:r>
    </w:p>
    <w:p w:rsidR="00684AC0" w:rsidRPr="006E1013" w:rsidRDefault="00684AC0" w:rsidP="00DD1C56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</w:p>
    <w:p w:rsidR="00684AC0" w:rsidRPr="006E1013" w:rsidRDefault="00684AC0" w:rsidP="006E1013">
      <w:pPr>
        <w:spacing w:line="276" w:lineRule="auto"/>
        <w:jc w:val="both"/>
        <w:rPr>
          <w:b/>
          <w:sz w:val="20"/>
          <w:szCs w:val="20"/>
        </w:rPr>
      </w:pPr>
      <w:r w:rsidRPr="006E1013">
        <w:rPr>
          <w:rFonts w:cstheme="minorHAnsi"/>
          <w:b/>
          <w:sz w:val="20"/>
          <w:szCs w:val="20"/>
        </w:rPr>
        <w:t>Katona Gábor</w:t>
      </w:r>
      <w:r w:rsidR="00DD1C56" w:rsidRPr="006E1013">
        <w:rPr>
          <w:rFonts w:cstheme="minorHAnsi"/>
          <w:b/>
          <w:sz w:val="20"/>
          <w:szCs w:val="20"/>
        </w:rPr>
        <w:t xml:space="preserve">, ELTE PPK </w:t>
      </w:r>
      <w:r w:rsidR="00AD7902" w:rsidRPr="006E1013">
        <w:rPr>
          <w:rFonts w:cstheme="minorHAnsi"/>
          <w:b/>
          <w:sz w:val="20"/>
          <w:szCs w:val="20"/>
        </w:rPr>
        <w:t>andragógia mesterszakos hallgató:</w:t>
      </w:r>
      <w:r w:rsidRPr="006E1013">
        <w:rPr>
          <w:rFonts w:cstheme="minorHAnsi"/>
          <w:b/>
          <w:sz w:val="20"/>
          <w:szCs w:val="20"/>
        </w:rPr>
        <w:t xml:space="preserve"> </w:t>
      </w:r>
      <w:r w:rsidRPr="006E1013">
        <w:rPr>
          <w:b/>
          <w:sz w:val="20"/>
          <w:szCs w:val="20"/>
        </w:rPr>
        <w:t>A nemtudás andragógiai kérdései</w:t>
      </w:r>
      <w:r w:rsidR="00AD7902" w:rsidRPr="006E1013">
        <w:rPr>
          <w:b/>
          <w:sz w:val="20"/>
          <w:szCs w:val="20"/>
        </w:rPr>
        <w:t xml:space="preserve"> </w:t>
      </w:r>
    </w:p>
    <w:p w:rsidR="00684AC0" w:rsidRPr="006E1013" w:rsidRDefault="00684AC0" w:rsidP="006E101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hu-HU"/>
        </w:rPr>
      </w:pPr>
      <w:r w:rsidRPr="006E1013">
        <w:rPr>
          <w:rFonts w:eastAsia="Times New Roman" w:cstheme="minorHAnsi"/>
          <w:sz w:val="20"/>
          <w:szCs w:val="20"/>
          <w:lang w:eastAsia="hu-HU"/>
        </w:rPr>
        <w:t>Az interaktív előadás a „nemtudás" témakörét andragógiai aspektusból világítja meg, és mint az andragógiai folyamatok egyik alapkérdésére fókuszál. Kitekintést ad a kompetenciafejlesztés irányaira, amelyek a várható és gyakran csupán sejthető gazdasági-társadalmi változások és szervezeti igények tükrében a munkaerő-piaci szereplők összefogását igényli.</w:t>
      </w:r>
    </w:p>
    <w:p w:rsidR="00684AC0" w:rsidRPr="006E1013" w:rsidRDefault="00684AC0" w:rsidP="006E101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hu-HU"/>
        </w:rPr>
      </w:pPr>
      <w:r w:rsidRPr="006E1013">
        <w:rPr>
          <w:rFonts w:eastAsia="Times New Roman" w:cstheme="minorHAnsi"/>
          <w:sz w:val="20"/>
          <w:szCs w:val="20"/>
          <w:lang w:eastAsia="hu-HU"/>
        </w:rPr>
        <w:t xml:space="preserve">Mit értünk „nemtudás” alatt? Rejtett tartalék? Elavult ismeret? Kiváló ám kihasználatlan </w:t>
      </w:r>
      <w:proofErr w:type="spellStart"/>
      <w:r w:rsidRPr="006E1013">
        <w:rPr>
          <w:rFonts w:eastAsia="Times New Roman" w:cstheme="minorHAnsi"/>
          <w:sz w:val="20"/>
          <w:szCs w:val="20"/>
          <w:lang w:eastAsia="hu-HU"/>
        </w:rPr>
        <w:t>skillek</w:t>
      </w:r>
      <w:proofErr w:type="spellEnd"/>
      <w:r w:rsidRPr="006E1013">
        <w:rPr>
          <w:rFonts w:eastAsia="Times New Roman" w:cstheme="minorHAnsi"/>
          <w:sz w:val="20"/>
          <w:szCs w:val="20"/>
          <w:lang w:eastAsia="hu-HU"/>
        </w:rPr>
        <w:t>? </w:t>
      </w:r>
    </w:p>
    <w:p w:rsidR="00684AC0" w:rsidRPr="006E1013" w:rsidRDefault="00684AC0" w:rsidP="006E101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hu-HU"/>
        </w:rPr>
      </w:pPr>
      <w:r w:rsidRPr="006E1013">
        <w:rPr>
          <w:rFonts w:eastAsia="Times New Roman" w:cstheme="minorHAnsi"/>
          <w:sz w:val="20"/>
          <w:szCs w:val="20"/>
          <w:lang w:eastAsia="hu-HU"/>
        </w:rPr>
        <w:t>Az andragógia szempontjából ezek a személyiség fundamentális forrásai, lehetőségei.</w:t>
      </w:r>
    </w:p>
    <w:p w:rsidR="006E1013" w:rsidRDefault="006E1013">
      <w:pPr>
        <w:spacing w:before="100" w:beforeAutospacing="1" w:after="100" w:afterAutospacing="1" w:line="240" w:lineRule="auto"/>
        <w:ind w:hanging="357"/>
        <w:rPr>
          <w:rFonts w:eastAsia="Times New Roman" w:cstheme="minorHAnsi"/>
          <w:b/>
          <w:sz w:val="24"/>
          <w:szCs w:val="24"/>
          <w:lang w:eastAsia="hu-HU"/>
        </w:rPr>
        <w:sectPr w:rsidR="006E1013" w:rsidSect="006E1013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:rsidR="004D1648" w:rsidRDefault="004D1648" w:rsidP="004D1648">
      <w:pPr>
        <w:spacing w:after="80"/>
        <w:jc w:val="center"/>
        <w:rPr>
          <w:rFonts w:eastAsia="Times New Roman" w:cstheme="minorHAnsi"/>
          <w:b/>
          <w:sz w:val="28"/>
          <w:szCs w:val="24"/>
          <w:lang w:eastAsia="hu-HU"/>
        </w:rPr>
      </w:pPr>
    </w:p>
    <w:p w:rsidR="00484FF4" w:rsidRDefault="00484FF4">
      <w:pPr>
        <w:spacing w:before="100" w:beforeAutospacing="1" w:after="100" w:afterAutospacing="1" w:line="240" w:lineRule="auto"/>
        <w:ind w:hanging="357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D1C56" w:rsidRPr="004D1648" w:rsidRDefault="00DD1C56" w:rsidP="00DD1C56">
      <w:pPr>
        <w:jc w:val="center"/>
        <w:rPr>
          <w:b/>
          <w:sz w:val="24"/>
          <w:szCs w:val="24"/>
        </w:rPr>
      </w:pPr>
      <w:r w:rsidRPr="004D1648">
        <w:rPr>
          <w:b/>
          <w:sz w:val="24"/>
          <w:szCs w:val="24"/>
        </w:rPr>
        <w:lastRenderedPageBreak/>
        <w:t>3</w:t>
      </w:r>
      <w:r w:rsidR="00A257EE" w:rsidRPr="004D1648">
        <w:rPr>
          <w:b/>
          <w:sz w:val="24"/>
          <w:szCs w:val="24"/>
        </w:rPr>
        <w:t xml:space="preserve">. </w:t>
      </w:r>
      <w:r w:rsidR="00CB26DD" w:rsidRPr="004D1648">
        <w:rPr>
          <w:b/>
          <w:sz w:val="24"/>
          <w:szCs w:val="24"/>
        </w:rPr>
        <w:t xml:space="preserve">szekció: </w:t>
      </w:r>
      <w:r w:rsidR="000F5962">
        <w:rPr>
          <w:b/>
          <w:sz w:val="24"/>
          <w:szCs w:val="24"/>
        </w:rPr>
        <w:t>Tudás és nem tudás a közösségi művelődésben</w:t>
      </w:r>
    </w:p>
    <w:p w:rsidR="00684AC0" w:rsidRPr="004D1648" w:rsidRDefault="00684AC0" w:rsidP="004D1648">
      <w:pPr>
        <w:rPr>
          <w:b/>
          <w:sz w:val="20"/>
          <w:szCs w:val="20"/>
        </w:rPr>
      </w:pPr>
      <w:r w:rsidRPr="004D1648">
        <w:rPr>
          <w:b/>
          <w:sz w:val="20"/>
          <w:szCs w:val="20"/>
        </w:rPr>
        <w:t>V</w:t>
      </w:r>
      <w:r w:rsidR="009C2CC3" w:rsidRPr="004D1648">
        <w:rPr>
          <w:b/>
          <w:sz w:val="20"/>
          <w:szCs w:val="20"/>
        </w:rPr>
        <w:t xml:space="preserve">ezeti: </w:t>
      </w:r>
      <w:proofErr w:type="spellStart"/>
      <w:r w:rsidR="009C4376" w:rsidRPr="004D1648">
        <w:rPr>
          <w:b/>
          <w:sz w:val="20"/>
          <w:szCs w:val="20"/>
        </w:rPr>
        <w:t>Ponyi</w:t>
      </w:r>
      <w:proofErr w:type="spellEnd"/>
      <w:r w:rsidR="009C4376" w:rsidRPr="004D1648">
        <w:rPr>
          <w:b/>
          <w:sz w:val="20"/>
          <w:szCs w:val="20"/>
        </w:rPr>
        <w:t xml:space="preserve"> László </w:t>
      </w:r>
      <w:r w:rsidR="00EE2398" w:rsidRPr="004D1648">
        <w:rPr>
          <w:b/>
          <w:sz w:val="20"/>
          <w:szCs w:val="20"/>
        </w:rPr>
        <w:t xml:space="preserve">egyetemi </w:t>
      </w:r>
      <w:r w:rsidR="009C4376" w:rsidRPr="004D1648">
        <w:rPr>
          <w:b/>
          <w:sz w:val="20"/>
          <w:szCs w:val="20"/>
        </w:rPr>
        <w:t>adjunktus, ELTE PPK</w:t>
      </w:r>
    </w:p>
    <w:p w:rsidR="004D1648" w:rsidRDefault="00DB1DFA" w:rsidP="004D1648">
      <w:pPr>
        <w:jc w:val="both"/>
        <w:rPr>
          <w:i/>
          <w:sz w:val="20"/>
          <w:szCs w:val="20"/>
        </w:rPr>
      </w:pPr>
      <w:r w:rsidRPr="00DB1DFA">
        <w:rPr>
          <w:i/>
          <w:sz w:val="20"/>
          <w:szCs w:val="20"/>
        </w:rPr>
        <w:t>Kerekasztal beszélgetés „</w:t>
      </w:r>
      <w:r w:rsidR="00DB7C12">
        <w:rPr>
          <w:i/>
          <w:sz w:val="20"/>
          <w:szCs w:val="20"/>
        </w:rPr>
        <w:t>Tudás és nem tudás</w:t>
      </w:r>
      <w:r w:rsidRPr="00DB1DFA">
        <w:rPr>
          <w:i/>
          <w:sz w:val="20"/>
          <w:szCs w:val="20"/>
        </w:rPr>
        <w:t>” címmel, megh</w:t>
      </w:r>
      <w:r w:rsidR="000F5962">
        <w:rPr>
          <w:i/>
          <w:sz w:val="20"/>
          <w:szCs w:val="20"/>
        </w:rPr>
        <w:t>í</w:t>
      </w:r>
      <w:r w:rsidR="00DB7C12">
        <w:rPr>
          <w:i/>
          <w:sz w:val="20"/>
          <w:szCs w:val="20"/>
        </w:rPr>
        <w:t>vott szakemberek részvételével.</w:t>
      </w:r>
    </w:p>
    <w:p w:rsidR="00DB7C12" w:rsidRPr="00DB7C12" w:rsidRDefault="00DB7C12" w:rsidP="00DB7C12">
      <w:pPr>
        <w:spacing w:after="0"/>
        <w:jc w:val="both"/>
        <w:rPr>
          <w:rFonts w:ascii="Cambria" w:hAnsi="Cambria"/>
        </w:rPr>
      </w:pPr>
      <w:r w:rsidRPr="00DB7C12">
        <w:rPr>
          <w:rFonts w:ascii="Cambria" w:hAnsi="Cambria"/>
        </w:rPr>
        <w:t>2013-ban olyan változások indultak el a közösségi művelődés terén, amelyet méltán nevezhetünk művelődés- és szakmatörténeti jelentőségűnek. A tervezett változások alapja az a szemléletváltás lett, amely lényegében új-újabb dimenzióba igyekszik helyezni a terület szakmai tevékenységét. Az új tervezési folyamatok lényegében régi alapkérdéseken alapultak. Mit tehet a szakma a társadalmi haladás szolgálatában? Hogyan lehet a kultúra eszközrendszerével az emberek közösségein segíteni? A feltett kérdésekre adott válaszok során, a közművelődési feladatellátás terén, olyan alapelvek váltak meghatározóvá, mint a kulturális alapellátás kiterjesztése, a közösségi, értékalapú fejlesztések, a civil társadalom segítése, gazdaságfejlesztés a kultúra segítségével. Olyan mérföldkövekről lehet ma már beszélni, mint a megyei feladatellátás teljes megújítása, a kulturális közfoglalkoztatás bevezetése, a szakfelügyelet, a statisztika, a minőségfejlesztés reformja, a felnőttképzés újragondolása, stratégiai együttműködések megkötése, az értéktári rendszerbe való bekapcsolódás, a kulturális törvény módosítása. Ezeket a változásokat értelemszerűen kísérte a felsőoktatási szakemberképzés átalakulása, az a fentiekből is következő igény, hogy a szakterület felsőoktatási és tudományos-akadémiai pozíciója megerősödjék. Ezt szolgálta a közösségi művelődés tanár szak, a közösségszervezés BA szak alapítása és indítása. Paradigmatikus változásra utal, hogy a szervezetben, a tevékenységben és a finanszírozásban, a szakmai utánpótlásban egyaránt gyökeres változások tanúi lehetünk. Ezek a változások átrajzolják a szakmai tudás és nem tudás, az új tudás és új nemtudás koordinátarendszerét is.</w:t>
      </w:r>
      <w:bookmarkStart w:id="1" w:name="_Hlk510950279"/>
      <w:r w:rsidRPr="00DB7C12">
        <w:rPr>
          <w:rFonts w:ascii="Cambria" w:hAnsi="Cambria"/>
        </w:rPr>
        <w:t xml:space="preserve"> </w:t>
      </w:r>
      <w:bookmarkEnd w:id="1"/>
      <w:r w:rsidRPr="00DB7C12">
        <w:rPr>
          <w:rFonts w:ascii="Cambria" w:hAnsi="Cambria"/>
        </w:rPr>
        <w:t xml:space="preserve">A kerekasztal résztvevői arra keresik a választ, hogy 2018-ban milyen értelemben beszélhetünk közösségi tanulásról, közösségi tudásról? Milyen szakmai kompetenciákra fókuszáljon a közösségi szakemberképzés? Mit tesz mindezek érdekében az NMI Művelődési Intézet és mit a szakminisztérium? </w:t>
      </w:r>
    </w:p>
    <w:p w:rsidR="000F5962" w:rsidRPr="00DB7C12" w:rsidRDefault="000F5962" w:rsidP="004D1648">
      <w:pPr>
        <w:jc w:val="both"/>
        <w:rPr>
          <w:i/>
          <w:sz w:val="20"/>
          <w:szCs w:val="20"/>
        </w:rPr>
      </w:pPr>
    </w:p>
    <w:sectPr w:rsidR="000F5962" w:rsidRPr="00DB7C12" w:rsidSect="00567128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2D2" w:rsidRDefault="005822D2" w:rsidP="00A811FB">
      <w:pPr>
        <w:spacing w:after="0" w:line="240" w:lineRule="auto"/>
      </w:pPr>
      <w:r>
        <w:separator/>
      </w:r>
    </w:p>
  </w:endnote>
  <w:endnote w:type="continuationSeparator" w:id="0">
    <w:p w:rsidR="005822D2" w:rsidRDefault="005822D2" w:rsidP="00A8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urulent Sans">
    <w:altName w:val="Arial"/>
    <w:panose1 w:val="00000000000000000000"/>
    <w:charset w:val="00"/>
    <w:family w:val="modern"/>
    <w:notTrueType/>
    <w:pitch w:val="variable"/>
    <w:sig w:usb0="00000001" w:usb1="000001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438" w:rsidRDefault="0050243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8C9" w:rsidRDefault="001F352A" w:rsidP="00B508C9">
    <w:pPr>
      <w:pStyle w:val="llb"/>
      <w:jc w:val="center"/>
    </w:pPr>
    <w:r>
      <w:t xml:space="preserve">Kérjük, regisztráljon előzetesen a konferenciára az </w:t>
    </w:r>
    <w:hyperlink r:id="rId1" w:history="1">
      <w:r w:rsidR="00B508C9" w:rsidRPr="003243DA">
        <w:rPr>
          <w:rStyle w:val="Hiperhivatkozs"/>
        </w:rPr>
        <w:t>fti@ppk.elte.hu</w:t>
      </w:r>
    </w:hyperlink>
    <w:r>
      <w:t xml:space="preserve"> e-mail címen!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7EE" w:rsidRPr="00A257EE" w:rsidRDefault="005F31AE">
    <w:pPr>
      <w:pStyle w:val="llb"/>
      <w:rPr>
        <w:color w:val="FF0000"/>
      </w:rPr>
    </w:pPr>
    <w:r>
      <w:rPr>
        <w:noProof/>
        <w:color w:val="FF0000"/>
        <w:lang w:eastAsia="hu-HU"/>
      </w:rPr>
      <w:drawing>
        <wp:inline distT="0" distB="0" distL="0" distR="0">
          <wp:extent cx="1243584" cy="609600"/>
          <wp:effectExtent l="0" t="0" r="0" b="0"/>
          <wp:docPr id="18" name="Kép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443" cy="611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57EE" w:rsidRPr="00A257EE">
      <w:rPr>
        <w:color w:val="FF0000"/>
      </w:rPr>
      <w:tab/>
    </w:r>
    <w:r w:rsidR="006E766C">
      <w:rPr>
        <w:noProof/>
        <w:lang w:eastAsia="hu-HU"/>
      </w:rPr>
      <w:drawing>
        <wp:inline distT="0" distB="0" distL="0" distR="0" wp14:anchorId="7887E8FE" wp14:editId="4D93A5DB">
          <wp:extent cx="1468414" cy="628650"/>
          <wp:effectExtent l="0" t="0" r="0" b="0"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6272" cy="640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766C">
      <w:rPr>
        <w:color w:val="FF0000"/>
      </w:rPr>
      <w:t xml:space="preserve"> </w:t>
    </w:r>
    <w:r w:rsidR="006E766C">
      <w:rPr>
        <w:noProof/>
        <w:lang w:eastAsia="hu-HU"/>
      </w:rPr>
      <w:drawing>
        <wp:inline distT="0" distB="0" distL="0" distR="0" wp14:anchorId="229B063D" wp14:editId="0B72E486">
          <wp:extent cx="2219325" cy="548471"/>
          <wp:effectExtent l="0" t="0" r="0" b="4445"/>
          <wp:docPr id="25" name="Kép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314897" cy="572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257EE" w:rsidRPr="00A257EE">
      <w:rPr>
        <w:color w:val="FF0000"/>
      </w:rPr>
      <w:tab/>
    </w:r>
    <w:r w:rsidR="00E44916">
      <w:rPr>
        <w:noProof/>
        <w:color w:val="FF0000"/>
        <w:lang w:eastAsia="hu-HU"/>
      </w:rPr>
      <w:drawing>
        <wp:inline distT="0" distB="0" distL="0" distR="0">
          <wp:extent cx="666629" cy="542925"/>
          <wp:effectExtent l="0" t="0" r="635" b="0"/>
          <wp:docPr id="28" name="Kép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943" cy="554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2D2" w:rsidRDefault="005822D2" w:rsidP="00A811FB">
      <w:pPr>
        <w:spacing w:after="0" w:line="240" w:lineRule="auto"/>
      </w:pPr>
      <w:r>
        <w:separator/>
      </w:r>
    </w:p>
  </w:footnote>
  <w:footnote w:type="continuationSeparator" w:id="0">
    <w:p w:rsidR="005822D2" w:rsidRDefault="005822D2" w:rsidP="00A8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438" w:rsidRDefault="0050243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438" w:rsidRDefault="0050243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1FB" w:rsidRDefault="00A811FB">
    <w:pPr>
      <w:pStyle w:val="lfej"/>
    </w:pPr>
    <w:r>
      <w:rPr>
        <w:noProof/>
        <w:lang w:eastAsia="hu-HU"/>
      </w:rPr>
      <w:drawing>
        <wp:anchor distT="0" distB="0" distL="0" distR="0" simplePos="0" relativeHeight="251659264" behindDoc="0" locked="0" layoutInCell="1" allowOverlap="1" wp14:anchorId="129E70B2" wp14:editId="63562292">
          <wp:simplePos x="0" y="0"/>
          <wp:positionH relativeFrom="column">
            <wp:posOffset>-556895</wp:posOffset>
          </wp:positionH>
          <wp:positionV relativeFrom="paragraph">
            <wp:posOffset>-173355</wp:posOffset>
          </wp:positionV>
          <wp:extent cx="937260" cy="962025"/>
          <wp:effectExtent l="0" t="0" r="0" b="9525"/>
          <wp:wrapSquare wrapText="largest"/>
          <wp:docPr id="1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962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E44916">
      <w:rPr>
        <w:rFonts w:ascii="Aurulent Sans" w:hAnsi="Aurulent Sans"/>
        <w:b/>
        <w:noProof/>
        <w:lang w:eastAsia="hu-HU"/>
      </w:rPr>
      <w:drawing>
        <wp:inline distT="0" distB="0" distL="0" distR="0" wp14:anchorId="4168B15A" wp14:editId="6868B105">
          <wp:extent cx="1447905" cy="709295"/>
          <wp:effectExtent l="0" t="0" r="0" b="0"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́cska201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611" cy="724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502438">
      <w:rPr>
        <w:noProof/>
        <w:lang w:eastAsia="hu-HU"/>
      </w:rPr>
      <w:drawing>
        <wp:inline distT="0" distB="0" distL="0" distR="0">
          <wp:extent cx="1050925" cy="1050925"/>
          <wp:effectExtent l="0" t="0" r="0" b="0"/>
          <wp:docPr id="1" name="Kép 1" descr="https://www.elte.hu/file/logo_elte_ppk_110x1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elte.hu/file/logo_elte_ppk_110x110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05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57EE" w:rsidRDefault="00A257E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7993"/>
    <w:multiLevelType w:val="hybridMultilevel"/>
    <w:tmpl w:val="6750C8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943F7"/>
    <w:multiLevelType w:val="hybridMultilevel"/>
    <w:tmpl w:val="A62EC9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71B1C"/>
    <w:multiLevelType w:val="hybridMultilevel"/>
    <w:tmpl w:val="808AD4B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97377"/>
    <w:multiLevelType w:val="hybridMultilevel"/>
    <w:tmpl w:val="F8D6CE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1073E"/>
    <w:multiLevelType w:val="hybridMultilevel"/>
    <w:tmpl w:val="6750C8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21F88"/>
    <w:multiLevelType w:val="hybridMultilevel"/>
    <w:tmpl w:val="BCBADFF2"/>
    <w:lvl w:ilvl="0" w:tplc="B99C1E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DAB35C0"/>
    <w:multiLevelType w:val="hybridMultilevel"/>
    <w:tmpl w:val="55A4F8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E0FA2"/>
    <w:multiLevelType w:val="hybridMultilevel"/>
    <w:tmpl w:val="686446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97BD0"/>
    <w:multiLevelType w:val="hybridMultilevel"/>
    <w:tmpl w:val="08561F40"/>
    <w:lvl w:ilvl="0" w:tplc="17AEC1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AC0"/>
    <w:rsid w:val="00016456"/>
    <w:rsid w:val="00052795"/>
    <w:rsid w:val="0006269F"/>
    <w:rsid w:val="000F5962"/>
    <w:rsid w:val="001D4924"/>
    <w:rsid w:val="001E37D6"/>
    <w:rsid w:val="001F352A"/>
    <w:rsid w:val="003632A7"/>
    <w:rsid w:val="0036657D"/>
    <w:rsid w:val="00387080"/>
    <w:rsid w:val="004006FD"/>
    <w:rsid w:val="00407189"/>
    <w:rsid w:val="0044369E"/>
    <w:rsid w:val="00480BD3"/>
    <w:rsid w:val="00484FF4"/>
    <w:rsid w:val="004C0057"/>
    <w:rsid w:val="004D1648"/>
    <w:rsid w:val="00502438"/>
    <w:rsid w:val="00550588"/>
    <w:rsid w:val="00567128"/>
    <w:rsid w:val="005822D2"/>
    <w:rsid w:val="005F31AE"/>
    <w:rsid w:val="00673D1F"/>
    <w:rsid w:val="00684AC0"/>
    <w:rsid w:val="00693EFE"/>
    <w:rsid w:val="00695BA5"/>
    <w:rsid w:val="006E1013"/>
    <w:rsid w:val="006E766C"/>
    <w:rsid w:val="007001E4"/>
    <w:rsid w:val="0072155B"/>
    <w:rsid w:val="00722158"/>
    <w:rsid w:val="0079529F"/>
    <w:rsid w:val="007C0C69"/>
    <w:rsid w:val="007C7F86"/>
    <w:rsid w:val="007F7B28"/>
    <w:rsid w:val="008D4D7D"/>
    <w:rsid w:val="009123F1"/>
    <w:rsid w:val="00937693"/>
    <w:rsid w:val="009C2CC3"/>
    <w:rsid w:val="009C4376"/>
    <w:rsid w:val="009E3B29"/>
    <w:rsid w:val="009F0F44"/>
    <w:rsid w:val="00A257EE"/>
    <w:rsid w:val="00A66466"/>
    <w:rsid w:val="00A749E4"/>
    <w:rsid w:val="00A811FB"/>
    <w:rsid w:val="00A90E49"/>
    <w:rsid w:val="00AD7902"/>
    <w:rsid w:val="00AE1460"/>
    <w:rsid w:val="00B04830"/>
    <w:rsid w:val="00B26898"/>
    <w:rsid w:val="00B508C9"/>
    <w:rsid w:val="00B64D86"/>
    <w:rsid w:val="00B7536E"/>
    <w:rsid w:val="00B9034A"/>
    <w:rsid w:val="00B93D0E"/>
    <w:rsid w:val="00CB26DD"/>
    <w:rsid w:val="00D00AB5"/>
    <w:rsid w:val="00D656FE"/>
    <w:rsid w:val="00DB1DFA"/>
    <w:rsid w:val="00DB7C12"/>
    <w:rsid w:val="00DD1C56"/>
    <w:rsid w:val="00E1046C"/>
    <w:rsid w:val="00E13CEC"/>
    <w:rsid w:val="00E44916"/>
    <w:rsid w:val="00EE2398"/>
    <w:rsid w:val="00F16994"/>
    <w:rsid w:val="00FE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2D65E5-6B08-491D-AEF6-1B5D3008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>
      <w:pPr>
        <w:spacing w:before="100" w:beforeAutospacing="1" w:after="100" w:afterAutospacing="1"/>
        <w:ind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84AC0"/>
    <w:pPr>
      <w:spacing w:before="0" w:beforeAutospacing="0" w:after="160" w:afterAutospacing="0" w:line="259" w:lineRule="auto"/>
      <w:ind w:firstLine="0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D656FE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Listaszerbekezds">
    <w:name w:val="List Paragraph"/>
    <w:basedOn w:val="Norml"/>
    <w:uiPriority w:val="34"/>
    <w:qFormat/>
    <w:rsid w:val="00D656F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811F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811F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811F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8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811FB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A8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811FB"/>
    <w:rPr>
      <w:sz w:val="22"/>
      <w:szCs w:val="22"/>
    </w:rPr>
  </w:style>
  <w:style w:type="table" w:styleId="Rcsostblzat">
    <w:name w:val="Table Grid"/>
    <w:basedOn w:val="Normltblzat"/>
    <w:uiPriority w:val="59"/>
    <w:rsid w:val="00DB1D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508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i@ppk.elte.h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ti@ppk.elte.h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94CA6-17DA-4A86-AE80-1D6A23D69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1505</Words>
  <Characters>10386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Kraiciné</dc:creator>
  <cp:lastModifiedBy>Dalma Csuka</cp:lastModifiedBy>
  <cp:revision>2</cp:revision>
  <dcterms:created xsi:type="dcterms:W3CDTF">2018-04-17T13:51:00Z</dcterms:created>
  <dcterms:modified xsi:type="dcterms:W3CDTF">2018-04-17T13:51:00Z</dcterms:modified>
</cp:coreProperties>
</file>