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A5" w:rsidRPr="00FE12D4" w:rsidRDefault="00FE12D4">
      <w:pPr>
        <w:rPr>
          <w:b/>
        </w:rPr>
      </w:pPr>
      <w:r w:rsidRPr="00FE12D4">
        <w:rPr>
          <w:b/>
        </w:rPr>
        <w:t>H. szekció</w:t>
      </w:r>
    </w:p>
    <w:p w:rsidR="00FE12D4" w:rsidRPr="00FE12D4" w:rsidRDefault="00FE12D4">
      <w:pPr>
        <w:rPr>
          <w:b/>
        </w:rPr>
      </w:pPr>
      <w:r w:rsidRPr="00FE12D4">
        <w:rPr>
          <w:b/>
        </w:rPr>
        <w:t>Hladon Andrea, Kálmán Anikó</w:t>
      </w:r>
    </w:p>
    <w:p w:rsidR="00FE12D4" w:rsidRPr="00FE12D4" w:rsidRDefault="00FE12D4" w:rsidP="00FE12D4">
      <w:pPr>
        <w:rPr>
          <w:b/>
        </w:rPr>
      </w:pPr>
      <w:r w:rsidRPr="00FE12D4">
        <w:rPr>
          <w:b/>
        </w:rPr>
        <w:t>Előadás cím: A soft skillek – a jövő fegyverei – egy közösség tükrében Gyermekvasút pályaorientációs és személyiségfejlesztő hatása</w:t>
      </w:r>
    </w:p>
    <w:p w:rsidR="00FE12D4" w:rsidRDefault="00FE12D4" w:rsidP="00FE12D4">
      <w:r>
        <w:t>Absztrakt magyar:</w:t>
      </w:r>
    </w:p>
    <w:p w:rsidR="00FE12D4" w:rsidRDefault="00FE12D4" w:rsidP="00FE12D4">
      <w:r>
        <w:t>Korszerű soft-skill tanfolyam és pályaorientációs központ vagy a Rákosi korszak maradványa? Milyen szerepe van ma Budapesten, Magyarországon a Széchenyi-hegyi Gyermekvasútnak az oda járó fiatalok személyiségfejlődésében? Tényleg minden második pajtás mozdonyvezető akar lenni?</w:t>
      </w:r>
    </w:p>
    <w:p w:rsidR="00FE12D4" w:rsidRDefault="00FE12D4" w:rsidP="00FE12D4">
      <w:r>
        <w:t>A 75 éves gyermekvasút népszerűsége csúcsán volt 2023-ban: korlátozni kellett az új tanulók létszámát a túljelentkezés miatt, a részben megújult „beton” tábor nyáron a kapacitása határán működik. Mi a titka a sikerüknek?</w:t>
      </w:r>
    </w:p>
    <w:p w:rsidR="00FE12D4" w:rsidRDefault="00FE12D4" w:rsidP="00FE12D4">
      <w:r>
        <w:t>A választ a szervezet soft skill fejlesztő és pályaorientációs hatásait vizsgáló kikérdezéssel kerestem, három korcsoportban: az éppen oktatott állományban, az aktív szolgálatot végzők és a korábbi gyermekvasutas felnőttek között. A kikérdezéseket 2024. február és április között végeztem, a kérdőíveket 2023. decemberében elvégzett interjúkkal véglegesítettem. A válaszadó 642 fiatal és felnőtt, közel 10100 adatának elemzésével értékes információkat kaptam, amelyet a vezetés felé is továbbítottam. A hatások és kapcsolódó eredmények áttekintése:</w:t>
      </w:r>
    </w:p>
    <w:p w:rsidR="00FE12D4" w:rsidRDefault="00FE12D4" w:rsidP="00FE12D4">
      <w:r>
        <w:t>Közösségfejlesztő hatás: A Széchenyi-hegyi Gyermekvasút közösségformáló ereje kulcsfontosságú a fiatalok személyiségfejlődésében, amelyet a közös tevékenységek és a csoportban eltöltött idő is elősegít. A Gyermekvasúton végzett közös munka erősíti a csapatmunkára való hajlandóságot és az együttműködési képességeket, amelyek elengedhetetlenek a munkahelyi sikerhez. Az összes válaszadó 90% felett a csapatmunka készség fejlődését emelte ki a soft skill hatások közül.</w:t>
      </w:r>
    </w:p>
    <w:p w:rsidR="00FE12D4" w:rsidRDefault="00FE12D4" w:rsidP="00FE12D4">
      <w:r>
        <w:t>Szabálytartás, felelősségtudat: A pajtások megtanulják a szabályok betartását és a felelősségteljes viselkedést, ami fontos készségeket biztosít számukra a későbbi életük során.</w:t>
      </w:r>
    </w:p>
    <w:p w:rsidR="00FE12D4" w:rsidRDefault="00FE12D4" w:rsidP="00FE12D4">
      <w:r>
        <w:t>A felnőttek legalább 80% arányban választották a szabálytartást, fegyelmet, baráti kapcsolatokat, nyitottságot és kommunikációs készségek fejlődését, mint hosszú távú hatást.</w:t>
      </w:r>
    </w:p>
    <w:p w:rsidR="00FE12D4" w:rsidRDefault="00FE12D4" w:rsidP="00FE12D4">
      <w:r>
        <w:t>Pályaorientáció: A Gyermekvasút jelentős szerepet játszik a pályaorientációban, segítve a fiatalokat jövőbeli karrierjük irányának meghatározásában és megerősítésében. A felnőtt kitöltők 63% szerint a gyermekvasútnál eltöltött idő hatással volt a munkavállalásukra, 37,9%-uk vasúttal kapcsolatos állásban helyezkedett el, ebből 19%-a MÁV vagy MÁV-Start alkalmazott lett.</w:t>
      </w:r>
    </w:p>
    <w:p w:rsidR="00FE12D4" w:rsidRDefault="00FE12D4" w:rsidP="00FE12D4">
      <w:r>
        <w:t>Önfejlesztés és önismeret: A vasutas tevékenységek révén a résztvevők jobban megismerhetik saját képességeiket és korlátjaikat, ami hozzájárul önbizalmuk növeléséhez és önállóságuk fejlesztéséhez.</w:t>
      </w:r>
    </w:p>
    <w:p w:rsidR="00FE12D4" w:rsidRDefault="00FE12D4" w:rsidP="00FE12D4">
      <w:r>
        <w:t>Kommunikációs készségek: A gyermekvasutas tevékenységek segítik a résztvevőket a hatékony kommunikációs készségek elsajátításában, amelyek szükségesek mind a személyes, mind a szakmai kapcsolatokban.</w:t>
      </w:r>
    </w:p>
    <w:p w:rsidR="00FE12D4" w:rsidRDefault="00FE12D4" w:rsidP="00FE12D4">
      <w:r>
        <w:t>Érzelmi intelligencia: A Gyermekvasúton szerzett tapasztalatok hozzájárulnak az érzelmi intelligencia fejlődéséhez, beleértve az önismeretet, a figyelem-fegyelmet és a pozitív hozzáállást.</w:t>
      </w:r>
    </w:p>
    <w:p w:rsidR="00FE12D4" w:rsidRDefault="00FE12D4" w:rsidP="00FE12D4">
      <w:r>
        <w:t>A szervezet ösztönzi a résztvevőket a kitartásra és a munka szeretetére, amely fontos motivációs tényezővé válik az életük során; ezt a hosszú távú motiváltságot igazolja, hogy 62%-uk gyermeke is pajtás lett vagy lesz.</w:t>
      </w:r>
    </w:p>
    <w:p w:rsidR="00FE12D4" w:rsidRDefault="00FE12D4" w:rsidP="00FE12D4">
      <w:r>
        <w:lastRenderedPageBreak/>
        <w:t>A felmérés eredményeit áttekintve megerősödött bennem a meggyőződés, hogy a gyerekek számára – főleg a pandémia utáni hatásokat tekintve – az egyik legjobb fejlődést és barátokat biztosító szervezet a Gyermekvasút közössége.</w:t>
      </w:r>
    </w:p>
    <w:p w:rsidR="00FE12D4" w:rsidRDefault="00FE12D4" w:rsidP="00FE12D4">
      <w:r>
        <w:t>Absztrakt angol:</w:t>
      </w:r>
    </w:p>
    <w:p w:rsidR="00FE12D4" w:rsidRDefault="00FE12D4" w:rsidP="00FE12D4">
      <w:r>
        <w:t>A modern soft-skill training and career orientation centre, or a remnant of Rákosi era? What role does the Széchenyi-hegy Children's Railway (hereinafter abbreviated as CR) play today in the personal development of young people in Budapest, Hungary? Is it true that every other child wants to become a train driver?</w:t>
      </w:r>
    </w:p>
    <w:p w:rsidR="00FE12D4" w:rsidRDefault="00FE12D4" w:rsidP="00FE12D4">
      <w:r>
        <w:t>The popularity of the 75-year-old children's railway was at its peak in 2023: the number of new students had to be limited due to over-registration, and the partially renewed "concrete" camp operates at the limit of its capacity in the summer. What is the secret of their success?</w:t>
      </w:r>
    </w:p>
    <w:p w:rsidR="00FE12D4" w:rsidRDefault="00FE12D4" w:rsidP="00FE12D4">
      <w:r>
        <w:t>I searched for the answer with a survey examining the soft skill development and career guidance effects of the organization, in three age groups: among the currently trained staff and those performing active duty and among former children's railway adults. I conducted the interviews between February and April 2024, and refined the questionnaires with interviews conducted in December 2023. By evaluating the data of 642 young people and adults, nearly 10,101, I received valuable information, which I also forwarded to the management of the CR. Overview of impacts and related results:</w:t>
      </w:r>
    </w:p>
    <w:p w:rsidR="00FE12D4" w:rsidRDefault="00FE12D4" w:rsidP="00FE12D4">
      <w:r>
        <w:t>Community Development Impact: The community-building power of the CR is crucial for the personality development of young people, fostered by shared activities and time spent within the group. The collaborative work on the CR enhances the willingness to engage in teamwork and improves cooperation skills, which are essential for workplace success. Over 90% of all respondents highlighted the improvement of teamwork soft skill as one of the key impacts.</w:t>
      </w:r>
    </w:p>
    <w:p w:rsidR="00FE12D4" w:rsidRDefault="00FE12D4" w:rsidP="00FE12D4">
      <w:r>
        <w:t>Adherence to Rules and Sense of Responsibility: The children learn to follow rules and exhibit responsible behaviour, providing them with important skills for their future lives. At least 80% of adults identified adherence to rules, discipline, friendships, openness, and communication skills as long-term impacts.</w:t>
      </w:r>
    </w:p>
    <w:p w:rsidR="00FE12D4" w:rsidRDefault="00FE12D4" w:rsidP="00FE12D4">
      <w:r>
        <w:t>Career Orientation: The CR plays a significant role in career orientation, helping young people determine and solidify the direction of their future careers. According to 63% of the adult participants, the time they spent at the CR had an impact on their employment, 37.9% of them found jobs related to the railway, of which 19% became MÁV or MÁV-Start employees.</w:t>
      </w:r>
    </w:p>
    <w:p w:rsidR="00FE12D4" w:rsidRDefault="00FE12D4" w:rsidP="00FE12D4">
      <w:r>
        <w:t>Self-Development and Self-Awareness: Through railway activities, participants can better understand their own abilities and limitations, contributing to increased self-confidence and independence.</w:t>
      </w:r>
    </w:p>
    <w:p w:rsidR="00FE12D4" w:rsidRDefault="00FE12D4" w:rsidP="00FE12D4">
      <w:r>
        <w:t>Communication Skills: Activities at the CR help participants acquire effective communication skill development necessary for both personal and professional relationships.</w:t>
      </w:r>
    </w:p>
    <w:p w:rsidR="00FE12D4" w:rsidRDefault="00FE12D4" w:rsidP="00FE12D4">
      <w:r>
        <w:t>Emotional Intelligence: Experiences gained at the CR contribute to the development of emotional intelligence, including self-awareness, attentiveness, and a positive attitude.</w:t>
      </w:r>
    </w:p>
    <w:p w:rsidR="00FE12D4" w:rsidRDefault="00FE12D4" w:rsidP="00FE12D4">
      <w:r>
        <w:t>The organization encourages persistence and a love for work, which become important motivational factors throughout life. This long-term motivation is clearly shown by the fact that 62% of participants' children either have become or will become members of the CR.</w:t>
      </w:r>
    </w:p>
    <w:p w:rsidR="00FE12D4" w:rsidRDefault="00FE12D4" w:rsidP="00FE12D4">
      <w:r>
        <w:lastRenderedPageBreak/>
        <w:t>Reviewing the results of the survey, I am convinced that the Children's Railway community is one of the best organizations that provide development and friends for children, especially in terms of the post-pandemic effects.</w:t>
      </w:r>
    </w:p>
    <w:p w:rsidR="00FE12D4" w:rsidRDefault="00FE12D4" w:rsidP="00FE12D4">
      <w:r>
        <w:t>Az előadáshoz kapcsolódóan 3-3 kulcsszó magyarul és angolul:</w:t>
      </w:r>
    </w:p>
    <w:p w:rsidR="00FE12D4" w:rsidRDefault="00FE12D4" w:rsidP="00FE12D4">
      <w:r>
        <w:t>pályaorientáció, soft skill, érzelmi intelligencia, megtartóerő</w:t>
      </w:r>
    </w:p>
    <w:p w:rsidR="00FE12D4" w:rsidRDefault="00FE12D4" w:rsidP="00FE12D4">
      <w:r>
        <w:t>career orientation, soft skill, emotional intelligence, retention</w:t>
      </w:r>
    </w:p>
    <w:p w:rsidR="00FE12D4" w:rsidRDefault="00FE12D4">
      <w:r>
        <w:br w:type="page"/>
      </w:r>
    </w:p>
    <w:p w:rsidR="00FE12D4" w:rsidRPr="00FE12D4" w:rsidRDefault="00FE12D4" w:rsidP="00FE12D4">
      <w:pPr>
        <w:rPr>
          <w:b/>
        </w:rPr>
      </w:pPr>
      <w:r w:rsidRPr="00FE12D4">
        <w:rPr>
          <w:b/>
        </w:rPr>
        <w:lastRenderedPageBreak/>
        <w:t>Korpics Márta, Méhes Tamás</w:t>
      </w:r>
    </w:p>
    <w:p w:rsidR="00FE12D4" w:rsidRPr="00FE12D4" w:rsidRDefault="00FE12D4" w:rsidP="00FE12D4">
      <w:pPr>
        <w:rPr>
          <w:b/>
        </w:rPr>
      </w:pPr>
      <w:r w:rsidRPr="00FE12D4">
        <w:rPr>
          <w:b/>
        </w:rPr>
        <w:t>Előadás cím: Környezeti kihívások – adaptív felsőoktatás? Egy mikrokutatás tanulságai</w:t>
      </w:r>
    </w:p>
    <w:p w:rsidR="00FE12D4" w:rsidRDefault="00FE12D4" w:rsidP="00FE12D4">
      <w:r>
        <w:t>Absztrakt magyar:</w:t>
      </w:r>
    </w:p>
    <w:p w:rsidR="00FE12D4" w:rsidRDefault="00FE12D4" w:rsidP="00FE12D4">
      <w:r>
        <w:t>A felsőoktatási intézmények állandó változási, fejlődési nyomásnak vannak kitéve (Budevici-Puiu, 2020, Burukina 2021). A globalizáció egyik leggyorsabban változó területe az információs és technológiai eszközök területe, ami a munkaerőpiacot és a felsőoktatást is érinti. Az információs-technológiai forradalom nagy hatással volt a felsőoktatásban folyó tanítási-tanulási folyamatokra, és megváltoztak a tanulók tanulási jellemzői és a képzésekkel kapcsolatos elvárásai is. Legszembetűnőbben ezzel a változással a Covid-19 járvány digitális és online oktatást kikényszerítő időszakában szembesültek az oktatási intézmények, amikor egyik napról a másikra kellett átállni a digitális oktatásra (Ferri et al. 2020; Janice 2022, Ramírez-Hurtado et al., 2021). Az oktatás minőségének fejlesztése az uniós felsőoktatási régió törekvéseihez kapcsolódva (ESG 2015) célkitűzésként több magyarországi felsőoktatási intézményben megjelent (Kálmán 2019). A tanulási eredmény-alapú oktatás (Frye-McKinney-Trimble 2006, Biggs-Tang 2007) az uniós törekvésekkel összhangban kiemelt szerepet játszik a fejlesztésékben.</w:t>
      </w:r>
    </w:p>
    <w:p w:rsidR="00FE12D4" w:rsidRDefault="00FE12D4" w:rsidP="00FE12D4">
      <w:r>
        <w:t>A Nemzeti Közszolgálati Egyetemen az elmúlt négy év a kreatív tanulás paradigma kialakításáról szólt. Számos fejlesztés történt, kutatások alapozták meg az egyetemen elindult paradigmaváltást. A program kiterjesztésének egyik lépése volt a szabadon választható kurzusok kreatív tematika szerinti átalakítása. A Kreatív Tanulás Iroda szakértői közreműködésével több mint száz kurzustematika készült el, köztük egy korábbi szabadon választható kurzus is, amely a Kreatív írás, kutatás, prezentációkészítés címet viselte. A kreatív átalakítás a szóban forgó kurzus esetében kettős volt, két oktató dolgozott a kurzus átalakításán és ketten is tartották a kurzust, egy a társadalomtudományi oktatásban jártas vezető oktató és egy fiatalabb, pályakezdő oktató, aki számos informatikai tárgy oktatásában is részt vesz az Egyetemen. A kurzus azóta három alkalommal indult el, de az oktatók figyelembe véve a környzeti és hallgatói igényeket, folyamatosan alakítják a kurzus tartalmát. A jelenleg, 2024-2025. tanév tavaszi félévében a legnagyobb változtatást az AI programok alkalmazása jelentette. A digitális kompetenciafejlesztés (Korpics-Herendy 2024) egyik legfontosabb feladata az AI programok etikus és helyzethez illő használatának megtanítása a hallgatóknak. Az előadásban a kurzus AI adaptációs vizsgálatát mutatjuk be. A kutatás során dokumentumelemzést végeztünk (kurzustematikák összevetése) és strukturált interjúkat készítettünk a hallgatókkal, hogy az ő véleményüket is megkérdezhessük a tanultak használhatóságáról. Bár a kutatás pilot jellegű, de mint jó gyakorlat a teljes felsőoktatási térség számára érdekes lehet.</w:t>
      </w:r>
    </w:p>
    <w:p w:rsidR="00FE12D4" w:rsidRDefault="00FE12D4" w:rsidP="00FE12D4">
      <w:r>
        <w:t>Absztrakt angol:</w:t>
      </w:r>
    </w:p>
    <w:p w:rsidR="00FE12D4" w:rsidRDefault="00FE12D4" w:rsidP="00FE12D4">
      <w:r>
        <w:t>Higher education institutions are under constant pressure to change and evolve (Budevici-Puiu, 2020, Burukina 2021). One of the fastest changing areas of globalisation is the field of information and technology, which affects both the labour market and higher education. The information and technology revolution has had a major impact on teaching-learning processes in higher education, changing the learning characteristics of students and their expectations of their courses. This change was most pronounced in the period of the Covid-19 epidemic, when educational institutions had to switch to digital education overnight (Ferri et al. 2020; Janice 2022, Ramírez-Hurtado et al., Improving the quality of education has become an objective in several Hungarian higher education institutions in line with the EU's ambitions for the higher education region (ESG 2015) (Kálmán 2019). In line with EU ambitions, learning outcomes-based education (Frye-McKinney-Trimble 2006, Biggs-Tang 2007) plays a prominent role in the development of higher education.</w:t>
      </w:r>
    </w:p>
    <w:p w:rsidR="00FE12D4" w:rsidRDefault="00FE12D4" w:rsidP="00FE12D4">
      <w:r>
        <w:lastRenderedPageBreak/>
        <w:t>At the National University of Public Service, the last four years have been about developing a creative learning paradigm. A number of developments and research have underpinned the paradigm shift that has been initiated at the university. One of the steps taken to expand the programme was to adapt the optional courses to creative themes. With the help of experts from the Creative Learning Office, more than 100 course topics were developed, including a former elective course entitled Creative Writing, Research, Presentation. The creative re-design of the course in question was twofold, with two lecturers working on the course re-design and two lecturers teaching the course, one a senior lecturer with experience in social science education and the other a junior lecturer who is also involved in teaching a number of IT subjects at the University. The course has been run three times since then, but the instructors are constantly adapting the course content to meet the needs of the environment and students. The biggest change for the current spring semester of the 2024-2025 academic year has been the use of AI programs. One of the most important tasks of digital literacy development (Korpics-Herendy 2024) is to teach students to use AI programs in an ethical and situational way. In this presentation, we present an AI adaptation study of the course. During the research, we conducted a document analysis (comparing course syllabi) and structured interviews with students to get their opinions on the usability of what they learned. Although the research is a pilot project, it could be of interest as a good practice for the whole higher education area.</w:t>
      </w:r>
    </w:p>
    <w:p w:rsidR="00FE12D4" w:rsidRDefault="00FE12D4" w:rsidP="00FE12D4">
      <w:r>
        <w:t>Az előadáshoz kapcsolódóan 3-3 kulcsszó magyarul és angolul:</w:t>
      </w:r>
    </w:p>
    <w:p w:rsidR="00FE12D4" w:rsidRDefault="00FE12D4" w:rsidP="00FE12D4">
      <w:r>
        <w:t>digitális kompetencia, pedagógiai paradigmaváltás, kurzusfejlesztés</w:t>
      </w:r>
    </w:p>
    <w:p w:rsidR="00FE12D4" w:rsidRDefault="00FE12D4" w:rsidP="00FE12D4">
      <w:r>
        <w:t>digital competence, pedagogical paradigm shift, course development</w:t>
      </w:r>
    </w:p>
    <w:p w:rsidR="00FE12D4" w:rsidRDefault="00FE12D4">
      <w:r>
        <w:br w:type="page"/>
      </w:r>
    </w:p>
    <w:p w:rsidR="00FE12D4" w:rsidRPr="00FE12D4" w:rsidRDefault="00FE12D4" w:rsidP="00FE12D4">
      <w:pPr>
        <w:rPr>
          <w:b/>
        </w:rPr>
      </w:pPr>
      <w:r w:rsidRPr="00FE12D4">
        <w:rPr>
          <w:b/>
        </w:rPr>
        <w:lastRenderedPageBreak/>
        <w:t>Budai Gábor</w:t>
      </w:r>
    </w:p>
    <w:p w:rsidR="00FE12D4" w:rsidRPr="00FE12D4" w:rsidRDefault="00FE12D4" w:rsidP="00FE12D4">
      <w:pPr>
        <w:rPr>
          <w:b/>
        </w:rPr>
      </w:pPr>
      <w:r w:rsidRPr="00FE12D4">
        <w:rPr>
          <w:b/>
        </w:rPr>
        <w:t>Előadás cím: Technikumból merre tovább? A tanulási utak és döntések sokfélesége két szakképzési centrum végzős diákjainak válaszai alapján</w:t>
      </w:r>
    </w:p>
    <w:p w:rsidR="00FE12D4" w:rsidRDefault="00FE12D4" w:rsidP="00FE12D4">
      <w:r>
        <w:t>Absztrakt magyar:</w:t>
      </w:r>
    </w:p>
    <w:p w:rsidR="00FE12D4" w:rsidRDefault="00FE12D4" w:rsidP="00FE12D4">
      <w:r>
        <w:t>A tanulmány célja feltérképezni a technikumi képzés végéhez közeledő tanulók továbbtanulási szándékait, motivációit és jövőbeli terveit. A kérdőíves felmérés két szakképzési centrum – Érdi és Dunaújvárosi – végzős tanulóinak válaszait vizsgálja, különös tekintettel arra, milyen tényezők befolyásolják döntéseiket: felsőoktatás, újabb szakmaszerzés, külföldi tanulás vagy munkavállalás. A vizsgálat 2025 áprilisában zajlott, és az eredmények rávilágítanak arra, hogy a tanulási utak rendkívül sokfélék, és gyakori a bizonytalanság, a szülői, tanári befolyás, valamint az anyagi és szakmai szempontok együttes hatása. A kutatás hozzájárulhat a pályaorientációs programok és a felsőoktatási toborzás hatékonyabb tervezéséhez.</w:t>
      </w:r>
    </w:p>
    <w:p w:rsidR="00FE12D4" w:rsidRDefault="00FE12D4" w:rsidP="00FE12D4">
      <w:r>
        <w:t>Absztrakt angol:</w:t>
      </w:r>
    </w:p>
    <w:p w:rsidR="00FE12D4" w:rsidRDefault="00FE12D4" w:rsidP="00FE12D4">
      <w:r>
        <w:t>What Comes After Technical School? Exploring Diverse Educational Pathways and Student Intentions in Two Hungarian VET Centres</w:t>
      </w:r>
    </w:p>
    <w:p w:rsidR="00FE12D4" w:rsidRDefault="00FE12D4" w:rsidP="00FE12D4">
      <w:r>
        <w:t>This study explores the future plans and motivations of graduating students from two Hungarian vocational education and training (VET) centers: Érd and Dunaújváros. Conducted in April 2025, the research uses a structured questionnaire to examine students’ preferences regarding further education, new professional qualifications, or working/studying abroad. The findings highlight a high degree of diversity in career trajectories and underline the uncertainty many students experience, often influenced by personal interests, financial factors, family advice, and job market expectations. These insights can inform guidance counseling programs and improve higher education recruitment strategies.</w:t>
      </w:r>
    </w:p>
    <w:p w:rsidR="00FE12D4" w:rsidRDefault="00FE12D4" w:rsidP="00FE12D4">
      <w:r>
        <w:t>Az előadáshoz kapcsolódóan 3-3 kulcsszó magyarul és angolul:</w:t>
      </w:r>
    </w:p>
    <w:p w:rsidR="00FE12D4" w:rsidRDefault="00FE12D4" w:rsidP="00FE12D4">
      <w:r>
        <w:t>pályaorientáció, technikumi tanulók, továbbtanulás</w:t>
      </w:r>
    </w:p>
    <w:p w:rsidR="00FE12D4" w:rsidRDefault="00FE12D4" w:rsidP="00FE12D4">
      <w:r>
        <w:t>career orientation, technical school students, educational decisions</w:t>
      </w:r>
    </w:p>
    <w:p w:rsidR="00FE12D4" w:rsidRDefault="00FE12D4">
      <w:r>
        <w:br w:type="page"/>
      </w:r>
    </w:p>
    <w:p w:rsidR="00FE12D4" w:rsidRPr="00FE12D4" w:rsidRDefault="00FE12D4" w:rsidP="00FE12D4">
      <w:pPr>
        <w:rPr>
          <w:b/>
        </w:rPr>
      </w:pPr>
      <w:r w:rsidRPr="00FE12D4">
        <w:rPr>
          <w:b/>
        </w:rPr>
        <w:lastRenderedPageBreak/>
        <w:t>Erdei Luca Alexa</w:t>
      </w:r>
      <w:r>
        <w:rPr>
          <w:b/>
        </w:rPr>
        <w:t>, Kasza Georgina, Laczik Dóra</w:t>
      </w:r>
    </w:p>
    <w:p w:rsidR="00FE12D4" w:rsidRPr="00FE12D4" w:rsidRDefault="00FE12D4" w:rsidP="00FE12D4">
      <w:pPr>
        <w:rPr>
          <w:b/>
        </w:rPr>
      </w:pPr>
      <w:r w:rsidRPr="00FE12D4">
        <w:rPr>
          <w:b/>
        </w:rPr>
        <w:t>Előadás cím: Az Erasmus GAP feltérképezése: A hallgatói mobilitást befolyásoló mikro-, mezo- és</w:t>
      </w:r>
      <w:r>
        <w:t xml:space="preserve"> </w:t>
      </w:r>
      <w:r w:rsidRPr="00FE12D4">
        <w:rPr>
          <w:b/>
        </w:rPr>
        <w:t>makroszintű tényezők vizsgálata</w:t>
      </w:r>
    </w:p>
    <w:p w:rsidR="00FE12D4" w:rsidRDefault="00FE12D4" w:rsidP="00FE12D4">
      <w:r>
        <w:t>Absztrakt magyar:</w:t>
      </w:r>
    </w:p>
    <w:p w:rsidR="00FE12D4" w:rsidRDefault="00FE12D4" w:rsidP="00FE12D4">
      <w:r>
        <w:t>Az elmúlt évtizedekben számos empirikus kutatás vizsgálta a nemzetközi hallgatói mobilitást befolyásoló tényezőket (Kmiotek-Meier et al., 2018; Lörz et al., 2016; Netz, 2015, 2021; Schnepf et al., 2022; Schnepf &amp; Colagrossi, 2020; Skribnjek, 2019; Souto-Otero et al., 2023), ezek túlnyomó többsége azonban elsősorban az egyéni szinten ható dimenziókra fókuszált. A szakirodalom ugyanakkor egyértelművé teszi, hogy a hallgatói szintű tényezők önmagukban nem elegendőek a mobilitásban való részvétel vagy az abból történő kimaradás teljes körű magyarázatához, mivel a felsőoktatási intézményi környezet is érdemi hatást gyakorol a mobilitási lehetőségekhez való hozzáférésre (Schnepf et al., 2022; Schnepf &amp; Colagrossi, 2020; Van Mol, 2017). Mindezeken túl a makroszintet alkotó nemzeti, regionális és globális politikák, kezdeményezések és trendek szintén formálják a mobilitási lehetőségeket és trendeket (Souto-Otero et al., 2023).</w:t>
      </w:r>
    </w:p>
    <w:p w:rsidR="00FE12D4" w:rsidRDefault="00FE12D4" w:rsidP="00FE12D4">
      <w:r>
        <w:t>A 2024 elején elindult Erasmus GAP (Exploring the Gap between Mobility Students and the Overall HE Student Population) KA2 projekt célja, hogy feltárja és azonosítsa azokat a mikro-, mezo- és makroszintű tényezőket, amelyek elősegítik vagy éppen akadályozzák a hallgatói mobilitási programokban való részvételt, és ezeket a felsőoktatási döntéshozók számára is láthatóvá tegye. A kutatás első lépéseként egy átfogó szakirodalmi áttekintés készült a scoping review módszertan alkalmazásával (Arksey &amp; O’Malley, 2005; Xiao &amp; Watson, 2019), amelynek célja a rövid távú mobilitási részvételt befolyásoló tényezők rendszerezése volt. Az irodalmi áttekintés eredményeire építve empirikus adatgyűjtés zajlott annak megértésére, hogy mi állhat a részvételi arányokban tapasztalható különbségek mögött, valamint hogyan alakítják a vizsgált felsőoktatási intézmények stratégiáikat és operatív folyamataikat a mobilitási egyenlőtlenségek csökkentése érdekében.</w:t>
      </w:r>
    </w:p>
    <w:p w:rsidR="00FE12D4" w:rsidRDefault="00FE12D4" w:rsidP="00FE12D4">
      <w:r>
        <w:t>A kutatás vegyes módszertani megközelítést alkalmaz, párhuzamosan zajló kvalitatív és kvantitatív adatgyűjtéssel, lehetővé téve az adatok kölcsönös értelmezését és megerősítését (Creswell &amp; Clark, 2011; Demir &amp; Pismek, 2018; Király et al., 2014). A módszertani trianguláció mellett az adatok triangulációját is biztosította a kutatás (Sántha, 2013): a kvantitatív adatfelvétel során 103 felsőoktatási intézmény nemzetközi mobilitási keretrendszerének stratégiai és operatív munkatársai töltötték ki az online kérdőívet. A kvalitatív szakaszban félig strukturált interjúk készültek öt konzorciumi tagintézmény képviselőivel (N=22), köztük nemzetközi koordinátorokkal, kari és adminisztratív mobilitási felelősökkel, valamint hallgatói érdekképviseleti szereplőkkel.</w:t>
      </w:r>
    </w:p>
    <w:p w:rsidR="00FE12D4" w:rsidRDefault="00FE12D4" w:rsidP="00FE12D4">
      <w:r>
        <w:t>A szakirodalmi áttekintés alapján a mobilitási részvételt mikro szinten többek között az egyéni motivációk, nyelvi kompetencia és családi háttér mellett a mobilitási tőke befolyásolja. Mezoszinten az intézményi jellemzők – például az akadémiai kultúra, a mobilitást támogató nemzetköziesítési stratégia, az információhoz és pénzügyi támogatáshoz való hozzáférés – meghatározóak. Makroszinten az európai szintű politikák mellett a nemzeti politikai, gazdasági és kulturális kontextus is hatással van a mobilitási trendekre. Az empirikus adatok alapján a pénzügyi korlátok – különösen az szűkös anyagi támogatás – kiemelkedő akadályt jelentenek. Azok az intézmények azonban, amelyek inkluzív, minden képzési szintre és szakterületre kiterjedő mobilitási programokat alakítanak ki, aktívan hozzájárulnak a hallgatói mobilitási egyenlőtlenségek csökkentéséhez. Emellett a hallgatóközpontú, személyre szabott mobilitástámogató folyamatok és szolgáltatások szintén ösztönzően hatnak a részvételre.</w:t>
      </w:r>
    </w:p>
    <w:p w:rsidR="00FE12D4" w:rsidRDefault="00FE12D4" w:rsidP="00FE12D4">
      <w:r>
        <w:lastRenderedPageBreak/>
        <w:t>A tervezett előadás célja tehát, hogy részletes képet nyújtson a hallgatói mobilitást befolyásoló mikro-, mezo- és makroszintű tényezőkről a szakirodalmi feltárás és az empirikus kutatási eredmények bemutatása révén. Emellett betekintés nyújt abba is, hogy a kutatás eredményei miként integrálhatók a gyakorlatba az Erasmus GAP KA2 projekt keretében és azon túlmenően.</w:t>
      </w:r>
    </w:p>
    <w:p w:rsidR="00FE12D4" w:rsidRDefault="00FE12D4">
      <w:r>
        <w:br w:type="page"/>
      </w:r>
    </w:p>
    <w:p w:rsidR="00FE12D4" w:rsidRPr="00FE12D4" w:rsidRDefault="00FE12D4" w:rsidP="00FE12D4">
      <w:pPr>
        <w:rPr>
          <w:b/>
        </w:rPr>
      </w:pPr>
      <w:r w:rsidRPr="00FE12D4">
        <w:rPr>
          <w:b/>
        </w:rPr>
        <w:lastRenderedPageBreak/>
        <w:t>Laczik Dóra, Erdei Luca Alexa</w:t>
      </w:r>
    </w:p>
    <w:p w:rsidR="00FE12D4" w:rsidRPr="00FE12D4" w:rsidRDefault="00FE12D4" w:rsidP="00FE12D4">
      <w:pPr>
        <w:rPr>
          <w:b/>
        </w:rPr>
      </w:pPr>
      <w:r w:rsidRPr="00FE12D4">
        <w:rPr>
          <w:b/>
        </w:rPr>
        <w:t>Előadás cím: A hallgatói mobilitás elősegítése érdekképviseleti perspektívából: Szerepek, kapcsolatok, kihívások</w:t>
      </w:r>
    </w:p>
    <w:p w:rsidR="00FE12D4" w:rsidRDefault="00FE12D4" w:rsidP="00FE12D4">
      <w:r>
        <w:t>Absztrakt magyar:</w:t>
      </w:r>
    </w:p>
    <w:p w:rsidR="00FE12D4" w:rsidRDefault="00FE12D4" w:rsidP="00FE12D4">
      <w:r>
        <w:t>Az elmúlt évtizedek során a nemzetközi hallgatói mobilitás a felsőoktatás nemzetköziesítésének egyik legintenzívebben kutatott területévé vált (Knight, 2012). Ezekre építve jött létre az Erasmus GAP (Exploring the gap between mobility students and the overall HE student population) projekt, amelynek keretében többek között a hallgatói mobilitásban való részvétel vagy kimaradás okait vizsgáltuk, különös tekintettel a mezo szintű, vagyis az intézményi és hallgatói érdekképviseleti tényezőkre. A kutatás célja annak feltárása, hogy a vizsgált budapesti felsőoktatási intézmények hallgatói érdekképviseleti szervezetei – különösen a Hallgatói Önkormányzat (HÖK) és az Erasmus Student Network (ESN) – miként azonosítják a mobilitási lehetőségekhez való hozzáférést elősegítő vagy akadályozó tényezőket, milyen válaszokat fogalmaznak meg ezekre a kihívásokra, valamint milyen módon járulnak hozzá a mobilitási folyamatok támogatásához és inkluzívabbá tételéhez stratégiai és operatív szinten is.</w:t>
      </w:r>
    </w:p>
    <w:p w:rsidR="00FE12D4" w:rsidRDefault="00FE12D4" w:rsidP="00FE12D4">
      <w:r>
        <w:t>A kvalitatív kutatás során a módszertani trianguláció elvét követve (Babbie, 2008; Sántha, 2013; Szokolszky, 2020) félig strukturált interjúk formájában és dokumentumelemzés segítségével történt az adatgyűjtés. A kutatás mintájába olyan hazai felsőoktatási intézmények kerültek be, amelyek rendelkeznek Hallgatói Önkormányzattal, valamint Erasmus Student Network tagozattal, továbbá legnagyobb arányban rendelkezzenek rövidtávú mobilitási programokkal a hallgatóik számára. Az adattriangulációt szem előtt tartva (Sántha, 2013) az interjúalanyok közé a hallgatói érdekképviseleti tagok mellett mobil és nem mobil hallgatók, illetve a nemzetközi mobilitást támogató szervezeti egységek munkatársai kerültek (N = 15).</w:t>
      </w:r>
    </w:p>
    <w:p w:rsidR="00FE12D4" w:rsidRDefault="00FE12D4" w:rsidP="00FE12D4">
      <w:r>
        <w:t>A kutatás eredményei alapján a hallgatói érdekképviseletek nem csupán operatív támogatást nyújtanak a hallgatók számára a mobilitási folyamatokban, hanem stratégiai szinten is képesek képviselni a hallgatói igényeket. Kiemelt figyelmet és szerepet kaptak az érdekképviseleti és az egyetemi szervezetek együttműködésének folyamatai és dinamikái. A kutatás során a résztvevők konkrét javaslatokat fogalmaztak meg az együttműködések hatékonyságának növelésére, valamint a nemzetközi hallgatói mobilitási folyamatok adminisztratív és strukturális gördülékenyebbé tételére vonatkozóan. Beszámoltak azon szolgáltatásokról és tevékenységekről, amelyek elősegítik a hallgatók mobilitási lehetőségekben való részvételét. Továbbá a résztvevők ismertették azon tényezőket, amelyek a hallgatói érdekképviseletek mobilitás támogatással kapcsolatos munkájukat, tevékenységeit nehezítik.</w:t>
      </w:r>
    </w:p>
    <w:p w:rsidR="00FE12D4" w:rsidRDefault="00FE12D4" w:rsidP="00FE12D4">
      <w:r>
        <w:t>A kutatás eredményei hasznos támpontként szolgálhatnak a hallgatói érdekképviseletek számára, valamint azoknak az egyetemi munkatársaknak, akik a nemzetköziesítés vagy külügyi területen dolgoznak, segítve őket a mobilitási programokhoz kapcsolódó együttműködések és folyamatok továbbfejlesztésében.</w:t>
      </w:r>
    </w:p>
    <w:p w:rsidR="00FE12D4" w:rsidRDefault="00FE12D4">
      <w:r>
        <w:br w:type="page"/>
      </w:r>
    </w:p>
    <w:p w:rsidR="00FE12D4" w:rsidRPr="00FE12D4" w:rsidRDefault="00FE12D4" w:rsidP="00FE12D4">
      <w:pPr>
        <w:rPr>
          <w:b/>
        </w:rPr>
      </w:pPr>
      <w:r w:rsidRPr="00FE12D4">
        <w:rPr>
          <w:b/>
        </w:rPr>
        <w:lastRenderedPageBreak/>
        <w:t>Juhász Márta, Horváth Mariann</w:t>
      </w:r>
    </w:p>
    <w:p w:rsidR="00FE12D4" w:rsidRPr="00FE12D4" w:rsidRDefault="00FE12D4" w:rsidP="00FE12D4">
      <w:pPr>
        <w:rPr>
          <w:b/>
        </w:rPr>
      </w:pPr>
      <w:r w:rsidRPr="00FE12D4">
        <w:rPr>
          <w:b/>
        </w:rPr>
        <w:t>Előadás cím: Országismeret tantárgy tanításának változásai a német nemzetiségi tanítóképzésben</w:t>
      </w:r>
    </w:p>
    <w:p w:rsidR="00FE12D4" w:rsidRDefault="00FE12D4" w:rsidP="00FE12D4">
      <w:r>
        <w:t>Absztrakt magyar:</w:t>
      </w:r>
    </w:p>
    <w:p w:rsidR="00FE12D4" w:rsidRDefault="00FE12D4" w:rsidP="00FE12D4">
      <w:r>
        <w:t>Az országismeret tantárgy célja, hogy a hallgató megismerkedjen a német nyelvű országokkal (Németország, Ausztria, Svájc). A félév során a hallgatók az egyes országok jellegzetességeibe nyernek betekintést, speciális szókincsbővítéssel (földrajz, történelem, politika, kultúra, hagyományok) karöltve. Az oktatói kompetenciák az évek alatt a hallgatói igényekhez igazodva változtak, így a képzési tartalmak korszerű formában, digitális felületek használatával új irányba indultak. Ez a változás a Covid pozitívumaként jelenik meg, hiszen az elektronikus tananyag-feldolgozás ekkor került előtérbe. Ma már kellő tapasztalattal rendelkezünk azzal kapcsolatban arról, hogy a hagyományos módszertant hogyan lehet modern formába önteni. A szeminárium célja nem csupán az ismeretátadás, a módszertani sokszínűség (tankockák, oktatóvideók) bemutatása, hanem az is, hogy a hallgatók korszerű és alkalmazható tudás birtokában később saját tanításuk során felhasználhassák az itt elsajátított ismereteket. A tanulmány több féléves tapasztalatunkat öleli fel, jó gyakorlat meghonosításának céljául szolgálva.</w:t>
      </w:r>
    </w:p>
    <w:p w:rsidR="00FE12D4" w:rsidRDefault="00FE12D4" w:rsidP="00FE12D4">
      <w:r>
        <w:t>Absztrakt angol:</w:t>
      </w:r>
    </w:p>
    <w:p w:rsidR="00FE12D4" w:rsidRDefault="00FE12D4" w:rsidP="00FE12D4">
      <w:r>
        <w:t>The aim of the country studies course is to familiarise students with the German-speaking countries (Germany, Austria, Switzerland). During the semester, students learn about the characteristics of each country and expand their specialised vocabulary (geography, history, politics, culture, traditions). Teaching competences have been adapted to student needs over the years, so that the training content has taken a new direction in a modern format, using digital interfaces. This change has been a positive development for Covid, which has focused on digital curriculum development. Today, we have sufficient experience of how traditional methodologies can be translated into a modern form. The aim of the seminar is not only to transfer knowledge, to present the diversity of methodologies (textbooks, tutorial videos), but also to enable students to use the knowledge acquired here in their own teaching, with modern and applicable knowledge. This paper summarises our experience over many semesters, with the aim of disseminating good practices.</w:t>
      </w:r>
    </w:p>
    <w:p w:rsidR="00FE12D4" w:rsidRDefault="00FE12D4" w:rsidP="00FE12D4">
      <w:r>
        <w:t>Az előadáshoz kapcsolódóan 3-3 kulcsszó magyarul és angolul:</w:t>
      </w:r>
    </w:p>
    <w:p w:rsidR="00FE12D4" w:rsidRDefault="00FE12D4" w:rsidP="00FE12D4">
      <w:r>
        <w:t>kulcsszavak: tanítóképzés, módszertani megújulás, digitális pedagógia</w:t>
      </w:r>
    </w:p>
    <w:p w:rsidR="00FE12D4" w:rsidRDefault="00FE12D4" w:rsidP="00FE12D4">
      <w:r>
        <w:t>keywords: teacher training, methodological innovation, digital pedagogy</w:t>
      </w:r>
    </w:p>
    <w:p w:rsidR="00FE12D4" w:rsidRDefault="00FE12D4">
      <w:r>
        <w:br w:type="page"/>
      </w:r>
    </w:p>
    <w:p w:rsidR="00FE12D4" w:rsidRPr="00FE12D4" w:rsidRDefault="00FE12D4" w:rsidP="00FE12D4">
      <w:pPr>
        <w:rPr>
          <w:b/>
        </w:rPr>
      </w:pPr>
      <w:r w:rsidRPr="00FE12D4">
        <w:rPr>
          <w:b/>
        </w:rPr>
        <w:lastRenderedPageBreak/>
        <w:t>Kovács Tamás</w:t>
      </w:r>
    </w:p>
    <w:p w:rsidR="00FE12D4" w:rsidRPr="00FE12D4" w:rsidRDefault="00FE12D4" w:rsidP="00FE12D4">
      <w:pPr>
        <w:rPr>
          <w:b/>
        </w:rPr>
      </w:pPr>
      <w:r w:rsidRPr="00FE12D4">
        <w:rPr>
          <w:b/>
        </w:rPr>
        <w:t>Előadás cím: Újra talpon – Családi reziliencia a gyakorlatban: képzési program hátrányos helyzetű közösségekben</w:t>
      </w:r>
    </w:p>
    <w:p w:rsidR="00FE12D4" w:rsidRDefault="00FE12D4" w:rsidP="00FE12D4">
      <w:r>
        <w:t>Absztrakt magyar:</w:t>
      </w:r>
    </w:p>
    <w:p w:rsidR="00FE12D4" w:rsidRDefault="00FE12D4" w:rsidP="00FE12D4">
      <w:r>
        <w:t>Az előadás egy megvalósult közösségfejlesztő beavatkozás tapasztalatait mutatja be, amelyet a MINDFLUENCER Közösség Közhasznú Egyesület valósított meg az Erasmus+ 2023-2-HU01-KA122-ADU-000177825 projekt keretében. A program célja a hátrányos helyzetű családok rezilienciájának erősítése volt három kulcsterületen: pénzügyi tudatosság, önellátás, valamint krízisállóság fejlesztése. A „Biztos háttér”, „Kiskertből terülj asztalkám” és „Újra talpon” modulok olyan ismereteket nyújtottak, amelyek a digitális térben is könnyen hozzáférhetők és adaptálhatók az alacsony iskolázottságú, NEET fiatalokat, fogyatékossággal élőket és seniorokat is magában foglaló célcsoport számára.</w:t>
      </w:r>
    </w:p>
    <w:p w:rsidR="00FE12D4" w:rsidRDefault="00FE12D4" w:rsidP="00FE12D4">
      <w:r>
        <w:t>A programban résztvevő 20 család gyakorlati képzése és mentorálása során szerzett tapasztalatok alapján elmondható, hogy az anyagi biztonság, a közösségi tanulás és az önellátásra való törekvés erőteljesen növelte a résztvevők cselekvőképességét és jövőbe vetett bizalmát. A képzések során hangsúlyt kapott a low waste életmód, a helyi erőforrásokra épülő gazdálkodás, valamint az interaktív és vizualizált tanulási technikák alkalmazása.</w:t>
      </w:r>
    </w:p>
    <w:p w:rsidR="00FE12D4" w:rsidRDefault="00FE12D4" w:rsidP="00FE12D4">
      <w:r>
        <w:t>Az előadás során bemutatásra kerülnek a projekt keretében elkészült eredménytermékek – így a képzési anyagok, kiadványok és tematikus könyvek –, valamint megosztásra kerülnek a résztvevők és a megvalósítók gyakorlati tapasztalatai is. A bemutatott modell a Dél-Dunántúli régió szegénységgel leginkább sújtott térségeiben szerzett tereptapasztalatokon alapul, és jól illeszkedik a digitális transzformációval kapcsolatos nemzeti és európai irányvonalakhoz. A prezentáció a résztvevők visszajelzései, a felhasznált módszertan és az elért hatások tükrében ajánl adaptálható tanulási programokat más leszakadó térségek számára.</w:t>
      </w:r>
    </w:p>
    <w:p w:rsidR="00FE12D4" w:rsidRDefault="00FE12D4" w:rsidP="00FE12D4">
      <w:r>
        <w:t>Absztrakt angol:</w:t>
      </w:r>
    </w:p>
    <w:p w:rsidR="00FE12D4" w:rsidRDefault="00FE12D4" w:rsidP="00FE12D4">
      <w:r>
        <w:t>Back on Track – Family Resilience in Practice: A Training Programme for Disadvantaged Communities</w:t>
      </w:r>
    </w:p>
    <w:p w:rsidR="00FE12D4" w:rsidRDefault="00FE12D4" w:rsidP="00FE12D4">
      <w:r>
        <w:t>The presentation showcases the outcomes of a community development intervention implemented by the MINDFLUENCER Public Benefit Association within the framework of the Erasmus+ project 2023-2-HU01-KA122-ADU-000177825. The programme aimed to strengthen the resilience of disadvantaged families across three key areas: financial literacy, self-sufficiency, and crisis resistance. The three core modules – “Secure Foundations”, “From Garden to Table”, and “Back on Track” – provided accessible and adaptable knowledge and skills, especially for target groups such as individuals with low educational attainment, NEET youth, persons with disabilities, and senior citizens.</w:t>
      </w:r>
    </w:p>
    <w:p w:rsidR="00FE12D4" w:rsidRDefault="00FE12D4" w:rsidP="00FE12D4">
      <w:r>
        <w:t>Based on the practical training and mentoring of 20 families, it was observed that financial security, community-based learning, and the pursuit of self-sufficiency significantly enhanced participants’ agency and confidence in the future. The trainings emphasized low-waste lifestyles, locally sourced production, and visual-interactive learning methods tailored to the needs of the participants.</w:t>
      </w:r>
    </w:p>
    <w:p w:rsidR="00550515" w:rsidRDefault="00FE12D4" w:rsidP="00FE12D4">
      <w:r>
        <w:t xml:space="preserve">During the presentation, the project’s concrete results will be presented, including training materials, publications, and thematic handbooks. Additionally, both participant and facilitator experiences will be shared. The presented model is based on field experience gathered in the most poverty-stricken areas of the South Transdanubian region and is well-aligned with both national and European digital </w:t>
      </w:r>
      <w:r>
        <w:lastRenderedPageBreak/>
        <w:t>transformation goals. The session offers adaptable learning programmes for other disadvantaged regions, informed by feedback, applied methods, and measurable impact.</w:t>
      </w:r>
    </w:p>
    <w:p w:rsidR="00550515" w:rsidRDefault="00550515">
      <w:r>
        <w:br w:type="page"/>
      </w:r>
    </w:p>
    <w:p w:rsidR="00550515" w:rsidRPr="00550515" w:rsidRDefault="00550515" w:rsidP="00550515">
      <w:pPr>
        <w:rPr>
          <w:b/>
        </w:rPr>
      </w:pPr>
      <w:r w:rsidRPr="00550515">
        <w:rPr>
          <w:b/>
        </w:rPr>
        <w:lastRenderedPageBreak/>
        <w:t>Simon Krisztián</w:t>
      </w:r>
    </w:p>
    <w:p w:rsidR="00550515" w:rsidRPr="00550515" w:rsidRDefault="00550515" w:rsidP="00550515">
      <w:pPr>
        <w:rPr>
          <w:b/>
        </w:rPr>
      </w:pPr>
      <w:r w:rsidRPr="00550515">
        <w:rPr>
          <w:b/>
        </w:rPr>
        <w:t>Előadás cím: Promoting international collaboration through virtual mobility: lessons of the first EDUC Good Practices Staff Week</w:t>
      </w:r>
    </w:p>
    <w:p w:rsidR="00550515" w:rsidRDefault="00550515" w:rsidP="00550515">
      <w:r>
        <w:t>Absztrakt magyar:</w:t>
      </w:r>
    </w:p>
    <w:p w:rsidR="00550515" w:rsidRDefault="00550515" w:rsidP="00550515">
      <w:r>
        <w:t>Az előadás célja, hogy bemutassa az EDUC Európai Egyetemi Szövetség (EESZ) keretén belül megvalósult első Good Practices Staff (GPSW) esemény legfőbb tanulságait. Az EDUC EESZ célja, hogy a nyolc partnerintézmény közötti nemzetközi kooperációt és kollaborációt támogassa virtuális mobilitás segítségével. Hogy megfelelően tudja támogatni az oktatókat a virtuális mobilitás használatában, az EDUC Teaching Academy (TA) kidolgozott egy képzéskatalógust különböző online és jelenléti képzésekkel, a felmerülő igényekre reagálva. A GPSW-k többnapos jelenléti képzésekként kontextust biztosítanak olyan tematikus workshopokhoz, amiknek célja, hogy kontextualizálják a virtuális mobilitáshoz kapcsolódó releváns elméleti, módszertani és gyakorlati hátteret. Összesen 27 oktatói résztvevővel a nyolc partnerintézménytől az első GPSW:</w:t>
      </w:r>
    </w:p>
    <w:p w:rsidR="00550515" w:rsidRDefault="00550515" w:rsidP="00550515">
      <w:r>
        <w:t>• egy Eisenhower mátrix segítségével felmérte a résztvevő oktatók igényeit;</w:t>
      </w:r>
    </w:p>
    <w:p w:rsidR="00550515" w:rsidRDefault="00550515" w:rsidP="00550515">
      <w:r>
        <w:t>• a DigCompEdu keretrendszer alapján bemutatta az oktatóknak a digitális tanításhoz szükséges kulcsfontosságú készségeket, amikről további tájékoztatást kaptak az oktatók egy önértékelő kérdőív segítségével;</w:t>
      </w:r>
    </w:p>
    <w:p w:rsidR="00550515" w:rsidRDefault="00550515" w:rsidP="00550515">
      <w:r>
        <w:t>• végigvezette az oktatókat Bloom taxonómiájának virtuális oktatási környezetekre történő alkalmazásán a saját oktatási környezetüket figyelembe véve;</w:t>
      </w:r>
    </w:p>
    <w:p w:rsidR="00550515" w:rsidRDefault="00550515" w:rsidP="00550515">
      <w:r>
        <w:t>• támogatta a különböző kurzuselemek alkalmazását az oktatási tartalmakhoz, tervezéshez, értékeléshez és együttműködéshez kapcsolódva, valamint;</w:t>
      </w:r>
    </w:p>
    <w:p w:rsidR="00550515" w:rsidRDefault="00550515" w:rsidP="00550515">
      <w:r>
        <w:t>• vendégelőadók segítségével további virtuális mobilitás lehetőségeket mutatott be.</w:t>
      </w:r>
    </w:p>
    <w:p w:rsidR="00550515" w:rsidRDefault="00550515" w:rsidP="00550515">
      <w:r>
        <w:t>A visszajelző kérdőív eredményei alapján (N=17; 63%-os kitöltés), az eseményt a részvevő oktatók igen hasznosnak értékelték, valamint nagyon motiváltak a további hasonló eseményeken való részvételre. Az előadás szintén bemutatja a jövőbeli GPSW események integrációját az EDUC TA keretébe.</w:t>
      </w:r>
    </w:p>
    <w:p w:rsidR="00550515" w:rsidRDefault="00550515" w:rsidP="00550515">
      <w:r>
        <w:t>Absztrakt angol:</w:t>
      </w:r>
    </w:p>
    <w:p w:rsidR="00550515" w:rsidRDefault="00550515" w:rsidP="00550515">
      <w:r>
        <w:t>The presentation discusses key lessons learned from implementing the first Good Practices Staff Week (GPSW) within the EDUC European University Alliance (EUA). The main goal of the EDUC EUA is to promote international cooperation and collaboration in the form of virtual mobility within its eight partner universities. In order to aid instructors in utilizing the virtual mobility format, the EDUC Teaching Academy (TA) developed a catalogue of capacity development offers to target emerging needs in online and face-to-face formats. The GPSWs, as multiday face-to-face events, provide meaningful context for organizing thematic training and workshops sessions focusing on the relevant theory, methodology and practical applications of virtual mobility. With 27 participating instructors from all eight partner institutions the first GPSW</w:t>
      </w:r>
    </w:p>
    <w:p w:rsidR="00550515" w:rsidRDefault="00550515" w:rsidP="00550515">
      <w:r>
        <w:t>• analyzed instructors’ needs based on a pre-GPSW Eisenhower Matrix;</w:t>
      </w:r>
    </w:p>
    <w:p w:rsidR="00550515" w:rsidRDefault="00550515" w:rsidP="00550515">
      <w:r>
        <w:t>• familiarized the instructors with key skills needed for digital teaching using the DigCompEdu framework and involved them in a self-assessment process and discussion;</w:t>
      </w:r>
    </w:p>
    <w:p w:rsidR="00550515" w:rsidRDefault="00550515" w:rsidP="00550515">
      <w:r>
        <w:lastRenderedPageBreak/>
        <w:t>• guided the participants through adapting Bloom’s taxonomy for virtual learning relevant for their own contexts;</w:t>
      </w:r>
    </w:p>
    <w:p w:rsidR="00550515" w:rsidRDefault="00550515" w:rsidP="00550515">
      <w:r>
        <w:t>• scaffolded the adoption of various course activities related to content, planning, assessment and collaboration and</w:t>
      </w:r>
    </w:p>
    <w:p w:rsidR="00550515" w:rsidRDefault="00550515" w:rsidP="00550515">
      <w:r>
        <w:t>• involved various guest speakers, further contextualizing the virtual mobility context.</w:t>
      </w:r>
    </w:p>
    <w:p w:rsidR="00550515" w:rsidRDefault="00550515" w:rsidP="00550515">
      <w:r>
        <w:t>Based on the results of the feedback questionnaire (N=17; 63% completion), the event was highly beneficial for the instructors who are very motivated to participate in similar future events. The presentation also addresses the integration of future GPSW offers in the EDUC TA.</w:t>
      </w:r>
    </w:p>
    <w:p w:rsidR="00550515" w:rsidRDefault="00550515" w:rsidP="00550515">
      <w:r>
        <w:t>Az előadáshoz kapcsolódóan 3-3 kulcsszó magyarul és angolul:</w:t>
      </w:r>
    </w:p>
    <w:p w:rsidR="00550515" w:rsidRDefault="00550515" w:rsidP="00550515">
      <w:r>
        <w:t>virtuális mobilitás, Európai Egyetemi Szövetségek, digitális tanítási készségek</w:t>
      </w:r>
    </w:p>
    <w:p w:rsidR="00550515" w:rsidRDefault="00550515" w:rsidP="00550515">
      <w:r>
        <w:t>virtual mobility, European University Alliances, digital teaching skills</w:t>
      </w:r>
    </w:p>
    <w:p w:rsidR="00550515" w:rsidRDefault="00550515">
      <w:r>
        <w:br w:type="page"/>
      </w:r>
    </w:p>
    <w:p w:rsidR="00FE12D4" w:rsidRDefault="00550515" w:rsidP="00550515">
      <w:r>
        <w:lastRenderedPageBreak/>
        <w:t>Erdei Gábor</w:t>
      </w:r>
    </w:p>
    <w:p w:rsidR="00550515" w:rsidRDefault="00550515">
      <w:r>
        <w:br w:type="page"/>
      </w:r>
    </w:p>
    <w:p w:rsidR="00550515" w:rsidRPr="00550515" w:rsidRDefault="00550515" w:rsidP="00550515">
      <w:pPr>
        <w:rPr>
          <w:b/>
        </w:rPr>
      </w:pPr>
      <w:r w:rsidRPr="00550515">
        <w:rPr>
          <w:b/>
        </w:rPr>
        <w:lastRenderedPageBreak/>
        <w:t>Németh Balázs</w:t>
      </w:r>
    </w:p>
    <w:p w:rsidR="00550515" w:rsidRPr="00550515" w:rsidRDefault="00550515" w:rsidP="00550515">
      <w:pPr>
        <w:rPr>
          <w:b/>
        </w:rPr>
      </w:pPr>
      <w:r w:rsidRPr="00550515">
        <w:rPr>
          <w:b/>
        </w:rPr>
        <w:t>Előadás cím: Understanding the Roles and Impacts of the EUGLOH Action Plan for Lifelong Learning</w:t>
      </w:r>
    </w:p>
    <w:p w:rsidR="00550515" w:rsidRDefault="00550515" w:rsidP="00550515">
      <w:r>
        <w:t>Absztrakt magyar:</w:t>
      </w:r>
    </w:p>
    <w:p w:rsidR="00550515" w:rsidRDefault="00550515" w:rsidP="00550515">
      <w:r>
        <w:t>Ez az előadás röviden összefoglalja az EUGLOH egész életen át tartó tanulásra vonatkozó cselekvési</w:t>
      </w:r>
      <w:r>
        <w:t xml:space="preserve"> </w:t>
      </w:r>
      <w:r>
        <w:t>tervének kialakulását, szerkezetét, szerepeit és tervezett következményeit. Az Európai Egyetemi</w:t>
      </w:r>
      <w:r>
        <w:t xml:space="preserve"> </w:t>
      </w:r>
      <w:r>
        <w:t>Szövetség a Globális Egészségügyért (EUGLOH) cselekvési tervet hozott létre az egész életen át tartó</w:t>
      </w:r>
      <w:r>
        <w:t xml:space="preserve"> </w:t>
      </w:r>
      <w:r>
        <w:t>tanulás (LLL) támogatására, hogy partnerintézményeiben előmozdítsa a lifelong learning</w:t>
      </w:r>
      <w:r>
        <w:t xml:space="preserve"> </w:t>
      </w:r>
      <w:r>
        <w:t>tevékenységek koherens és innovatív megközelítését. Az EUGLOH igazgatósága által jóváhagyott</w:t>
      </w:r>
      <w:r>
        <w:t xml:space="preserve"> </w:t>
      </w:r>
      <w:r>
        <w:t>kezdeményezés jelentős lépést jelent egy fenntartható és inkluzív LLL-stratégia létrehozása felé,</w:t>
      </w:r>
      <w:r>
        <w:t xml:space="preserve"> </w:t>
      </w:r>
      <w:r>
        <w:t>amely Európa fejlődő oktatási és szakmai környezetével foglalkozik.</w:t>
      </w:r>
      <w:r>
        <w:t xml:space="preserve"> </w:t>
      </w:r>
      <w:r>
        <w:t>A felsőoktatásnak az egész életen át tartó tanulás előmozdításában, nevezetesen a hatékony</w:t>
      </w:r>
      <w:r>
        <w:t xml:space="preserve"> </w:t>
      </w:r>
      <w:r>
        <w:t>stratégiák kidolgozásában és megvalósításában betöltött szerepével összhangban (de Viron és</w:t>
      </w:r>
      <w:r>
        <w:t xml:space="preserve"> </w:t>
      </w:r>
      <w:r>
        <w:t>Davies, 2015) olyan irányadó dokumentumokat kell megfogalmazni, mint az egész életen át tartó</w:t>
      </w:r>
      <w:r>
        <w:t xml:space="preserve"> </w:t>
      </w:r>
      <w:r>
        <w:t>tanulás akciótervei, amelyek egyrészt közös lépéseket kezdeményeznek a módszerek, eszközök és</w:t>
      </w:r>
      <w:r>
        <w:t xml:space="preserve"> </w:t>
      </w:r>
      <w:r>
        <w:t>releváns egyetemi élethosszig tartó tanulási stratégiák jó gyakorlatainak megértésére és cseréjére.</w:t>
      </w:r>
    </w:p>
    <w:p w:rsidR="00550515" w:rsidRDefault="00550515" w:rsidP="00550515">
      <w:r>
        <w:t>Másrészt az EUGLOH partneregyetemei cselekvési tervet dolgoztak ki az intézményi és szabályozási</w:t>
      </w:r>
      <w:r>
        <w:t xml:space="preserve"> </w:t>
      </w:r>
      <w:r>
        <w:t>kezdeményezések megosztására, hogy segítsenek további lépéseket tenni a partneregyetemek</w:t>
      </w:r>
      <w:r>
        <w:t xml:space="preserve"> </w:t>
      </w:r>
      <w:r>
        <w:t>élethosszig tartó tanulási rendszerében való részvétel és teljesítmény fejlesztése érdekében.</w:t>
      </w:r>
      <w:r>
        <w:t xml:space="preserve"> </w:t>
      </w:r>
      <w:r>
        <w:t>Az egész életen át tartó tanulás iránti igénynek megfelelően a rugalmas tanulási környezetek javítása</w:t>
      </w:r>
      <w:r>
        <w:t xml:space="preserve"> </w:t>
      </w:r>
      <w:r>
        <w:t>érdekében (Cendon, Kesli és Orr, 2022), az Akcióterv azonosítja az EUGLOH kontextusában</w:t>
      </w:r>
      <w:r>
        <w:t xml:space="preserve"> </w:t>
      </w:r>
      <w:r>
        <w:t>egyedülálló kulcsfontosságú kihívásokat és lehetőségeket, például az intézményi és szabályozási</w:t>
      </w:r>
      <w:r>
        <w:t xml:space="preserve"> </w:t>
      </w:r>
      <w:r>
        <w:t>támogatás szükségességét, a nem akadémiai érdekelt felekkel kialakított partnerségek értékét,</w:t>
      </w:r>
      <w:r>
        <w:t xml:space="preserve"> </w:t>
      </w:r>
      <w:r>
        <w:t>valamint az élethosszig tartó és multikulturális tanulási környezet kulcsfontosságú funkcióiként</w:t>
      </w:r>
      <w:r>
        <w:t xml:space="preserve"> </w:t>
      </w:r>
      <w:r>
        <w:t>szolgáló többnyelvű és multikulturális tanulási rendszert. Hangsúlyozza a felsőoktatási intézmények</w:t>
      </w:r>
      <w:r>
        <w:t xml:space="preserve"> </w:t>
      </w:r>
      <w:r>
        <w:t>(HEI) szerepét a hatékony LLL-kultúra előmozdításában helyi, regionális, nemzeti és nemzetközi</w:t>
      </w:r>
      <w:r>
        <w:t xml:space="preserve"> </w:t>
      </w:r>
      <w:r>
        <w:t>szinten.</w:t>
      </w:r>
    </w:p>
    <w:p w:rsidR="00550515" w:rsidRDefault="00550515" w:rsidP="00550515">
      <w:r>
        <w:t>Az EUGLOH partneregyetemek bevált gyakorlataira támaszkodva a terv olyan sikeres</w:t>
      </w:r>
      <w:r>
        <w:t xml:space="preserve"> </w:t>
      </w:r>
      <w:r>
        <w:t>kezdeményezéseket emel ki, mint az LMU München Senior Studies Központja, a Lundi Egyetem</w:t>
      </w:r>
      <w:r>
        <w:t xml:space="preserve"> </w:t>
      </w:r>
      <w:r>
        <w:t>EduLab és a Szegedi Tudományegyetem szövetkezeti kurzusai. Ezek a példák az egész életen át tartó</w:t>
      </w:r>
      <w:r>
        <w:t xml:space="preserve"> </w:t>
      </w:r>
      <w:r>
        <w:t>tanulás innovatív megközelítéseit mutatják be, beleértve a rugalmas tanítási stratégiákat, a</w:t>
      </w:r>
      <w:r>
        <w:t xml:space="preserve"> </w:t>
      </w:r>
      <w:r>
        <w:t>karriertervezés integrációját és a kurzusok lebonyolítására szolgáló digitális platformokat.</w:t>
      </w:r>
    </w:p>
    <w:p w:rsidR="00550515" w:rsidRDefault="00550515" w:rsidP="00550515">
      <w:r>
        <w:t>A Cselekvési Terv, amely a felsőoktatás megnyitásának politikáiról és stratégiáiról (Dollhausen és</w:t>
      </w:r>
      <w:r>
        <w:t xml:space="preserve"> </w:t>
      </w:r>
      <w:r>
        <w:t>Jütte, 2023) épült, átfogó ütemtervet vázol fel egy közös LLL-program megvalósítására, amelynek</w:t>
      </w:r>
      <w:r>
        <w:t xml:space="preserve"> </w:t>
      </w:r>
      <w:r>
        <w:t>jövőképe az inkluzivitás, a rugalmasság és a hozzáférhetőség középpontjában áll. A kulcsfontosságú</w:t>
      </w:r>
      <w:r>
        <w:t xml:space="preserve"> </w:t>
      </w:r>
      <w:r>
        <w:t>célok közé tartozik az egész életen át tartó tanulás, mint a felsőoktatási intézmények alapvető</w:t>
      </w:r>
      <w:r>
        <w:t xml:space="preserve"> </w:t>
      </w:r>
      <w:r>
        <w:t>funkciójának népszerűsítése, a tantervi és pedagógiai megközelítések megújítása, a minőségbiztosítás</w:t>
      </w:r>
      <w:r>
        <w:t xml:space="preserve"> </w:t>
      </w:r>
      <w:r>
        <w:t>javítása, valamint a nem akadémiai érdekelt felekkel való partnerség megerősítése. A terv foglalkozik</w:t>
      </w:r>
      <w:r>
        <w:t xml:space="preserve"> </w:t>
      </w:r>
      <w:r>
        <w:t>a nyelvi akadályok leküzdésének és az oktatók bevonásának fontosságával is az LLL</w:t>
      </w:r>
      <w:r>
        <w:t xml:space="preserve"> </w:t>
      </w:r>
      <w:r>
        <w:t>kezdeményezésekbe.</w:t>
      </w:r>
    </w:p>
    <w:p w:rsidR="00550515" w:rsidRDefault="00550515" w:rsidP="00550515">
      <w:r>
        <w:t>Végül az előadás következtetéseket von le az Akciótervről, utalva végrehajtásának lehetőségeire és</w:t>
      </w:r>
      <w:r>
        <w:t xml:space="preserve"> </w:t>
      </w:r>
      <w:r>
        <w:t>korlátjaira, amelyek az európai szintű kezdeményezéseken alapulnak, mint az Európai Egyetemi</w:t>
      </w:r>
      <w:r>
        <w:t xml:space="preserve"> </w:t>
      </w:r>
      <w:bookmarkStart w:id="0" w:name="_GoBack"/>
      <w:bookmarkEnd w:id="0"/>
      <w:r>
        <w:t>Kezdeményezés az egyetemi élethosszig tartó tanulásra vonatkozó elképzelések alapján.</w:t>
      </w:r>
    </w:p>
    <w:p w:rsidR="00550515" w:rsidRDefault="00550515" w:rsidP="00550515"/>
    <w:p w:rsidR="00550515" w:rsidRDefault="00550515" w:rsidP="00550515">
      <w:r>
        <w:lastRenderedPageBreak/>
        <w:t>Források:</w:t>
      </w:r>
    </w:p>
    <w:p w:rsidR="00550515" w:rsidRDefault="00550515" w:rsidP="00550515">
      <w:r>
        <w:t>De Viron, F., &amp;amp; Davies, P. (2015). From University Lifelong Learning to Lifelong Learning Universities:</w:t>
      </w:r>
    </w:p>
    <w:p w:rsidR="00550515" w:rsidRDefault="00550515" w:rsidP="00550515">
      <w:r>
        <w:t>Developing and Implementing Effective Strategies. In J. Yang, C. Schneller, &amp;amp; S. Roche (Eds.), The Role</w:t>
      </w:r>
    </w:p>
    <w:p w:rsidR="00550515" w:rsidRDefault="00550515" w:rsidP="00550515">
      <w:r>
        <w:t>of Higher Education in Promoting Lifelong Learning (pp. 40-59). UIL.</w:t>
      </w:r>
    </w:p>
    <w:p w:rsidR="00550515" w:rsidRDefault="00550515" w:rsidP="00550515">
      <w:r>
        <w:t>https://files.eric.ed.gov/fulltext/ED564050.pdf</w:t>
      </w:r>
    </w:p>
    <w:p w:rsidR="00550515" w:rsidRDefault="00550515" w:rsidP="00550515">
      <w:r>
        <w:t>Cendon, E., Kesli, U. &amp;amp; Orr, K. (2023) University Lifelong Learning as flexible learning, European</w:t>
      </w:r>
    </w:p>
    <w:p w:rsidR="00550515" w:rsidRDefault="00550515" w:rsidP="00550515">
      <w:r>
        <w:t>Journal of University Lifelong Learning, 7(1), pp. 1-5. © eucen, 2023.</w:t>
      </w:r>
    </w:p>
    <w:p w:rsidR="00550515" w:rsidRDefault="00550515" w:rsidP="00550515">
      <w:r>
        <w:t>https://doi.org/10.53807/0701f9s8</w:t>
      </w:r>
    </w:p>
    <w:p w:rsidR="00550515" w:rsidRDefault="00550515" w:rsidP="00550515">
      <w:r>
        <w:t>Dollhausen, K., &amp;amp; Jütte, W. (2023). Higher Education and Lifelong Learning. In K. Evans, W. O. Lee, J.</w:t>
      </w:r>
    </w:p>
    <w:p w:rsidR="00550515" w:rsidRDefault="00550515" w:rsidP="00550515">
      <w:r>
        <w:t>Markowitsch, &amp;amp; M. Zukas (Eds.), Springer International Handbooks of Education. Third International</w:t>
      </w:r>
    </w:p>
    <w:p w:rsidR="00550515" w:rsidRDefault="00550515" w:rsidP="00550515">
      <w:r>
        <w:t>Handbook of Lifelong Learning (pp. 397-420). Cham: Springer International Publishing.</w:t>
      </w:r>
    </w:p>
    <w:p w:rsidR="00550515" w:rsidRDefault="00550515" w:rsidP="00550515">
      <w:r>
        <w:t>https://doi.org/10.1007/978-3-031-19592-1_21</w:t>
      </w:r>
    </w:p>
    <w:p w:rsidR="00550515" w:rsidRDefault="00550515" w:rsidP="00550515">
      <w:r>
        <w:t>Absztrakt angol:</w:t>
      </w:r>
    </w:p>
    <w:p w:rsidR="00550515" w:rsidRDefault="00550515" w:rsidP="00550515">
      <w:r>
        <w:t>This presentation will shortly reflect the formation, structure, roles and planned implications of the</w:t>
      </w:r>
    </w:p>
    <w:p w:rsidR="00550515" w:rsidRDefault="00550515" w:rsidP="00550515">
      <w:r>
        <w:t>EUGLOH Action Plan for Lifelong Learning. The European University Alliance for Global Health</w:t>
      </w:r>
    </w:p>
    <w:p w:rsidR="00550515" w:rsidRDefault="00550515" w:rsidP="00550515">
      <w:r>
        <w:t>(EUGLOH) has launched an Action Plan for Lifelong Learning (LLL) to foster a cohesive and innovative</w:t>
      </w:r>
    </w:p>
    <w:p w:rsidR="00550515" w:rsidRDefault="00550515" w:rsidP="00550515">
      <w:r>
        <w:t xml:space="preserve">approach to lifelong education across its partner </w:t>
      </w:r>
      <w:proofErr w:type="gramStart"/>
      <w:r>
        <w:t>institutions.This</w:t>
      </w:r>
      <w:proofErr w:type="gramEnd"/>
      <w:r>
        <w:t xml:space="preserve"> initiative, approved by the EUGLOH</w:t>
      </w:r>
    </w:p>
    <w:p w:rsidR="00550515" w:rsidRDefault="00550515" w:rsidP="00550515">
      <w:r>
        <w:t>Executive Board, represents a significant step towards creating a sustainable and inclusive LLL</w:t>
      </w:r>
    </w:p>
    <w:p w:rsidR="00550515" w:rsidRDefault="00550515" w:rsidP="00550515">
      <w:r>
        <w:t>strategy that addresses Europe&amp;#</w:t>
      </w:r>
      <w:proofErr w:type="gramStart"/>
      <w:r>
        <w:t>39;s</w:t>
      </w:r>
      <w:proofErr w:type="gramEnd"/>
      <w:r>
        <w:t xml:space="preserve"> evolving educational and professional landscape.</w:t>
      </w:r>
    </w:p>
    <w:p w:rsidR="00550515" w:rsidRDefault="00550515" w:rsidP="00550515">
      <w:r>
        <w:t>In accordance with the roles of Higher Education in the promotion of lifelong learning and, namely, in</w:t>
      </w:r>
    </w:p>
    <w:p w:rsidR="00550515" w:rsidRDefault="00550515" w:rsidP="00550515">
      <w:r>
        <w:t>development and implementation of effective strategies (de Viron and Davies, 2015), it is necessary</w:t>
      </w:r>
    </w:p>
    <w:p w:rsidR="00550515" w:rsidRDefault="00550515" w:rsidP="00550515">
      <w:r>
        <w:t>to formulate guiding documents like action plans for Lifelong Learning to initiate, on the one hand,</w:t>
      </w:r>
    </w:p>
    <w:p w:rsidR="00550515" w:rsidRDefault="00550515" w:rsidP="00550515">
      <w:r>
        <w:t>joint steps for understanding and exchanging of good practices of methods, tools and relevant</w:t>
      </w:r>
    </w:p>
    <w:p w:rsidR="00550515" w:rsidRDefault="00550515" w:rsidP="00550515">
      <w:r>
        <w:t>strategies in university lifelong learning. On the other hand, partner universities of EUGLOH have</w:t>
      </w:r>
    </w:p>
    <w:p w:rsidR="00550515" w:rsidRDefault="00550515" w:rsidP="00550515">
      <w:r>
        <w:t>formed an Action Plan to share institutional and regulatory initiatives so as to help making further</w:t>
      </w:r>
    </w:p>
    <w:p w:rsidR="00550515" w:rsidRDefault="00550515" w:rsidP="00550515">
      <w:r>
        <w:t>steps to help developing participation and performance in lifelong learning privision of partner</w:t>
      </w:r>
    </w:p>
    <w:p w:rsidR="00550515" w:rsidRDefault="00550515" w:rsidP="00550515">
      <w:r>
        <w:t>universities.</w:t>
      </w:r>
    </w:p>
    <w:p w:rsidR="00550515" w:rsidRDefault="00550515" w:rsidP="00550515">
      <w:r>
        <w:t>In accordance with the claim for lifelong learning to enhance flexible learning environments (Cendon,</w:t>
      </w:r>
    </w:p>
    <w:p w:rsidR="00550515" w:rsidRDefault="00550515" w:rsidP="00550515">
      <w:r>
        <w:lastRenderedPageBreak/>
        <w:t>Kesli and Orr, 2022), the Action Plan identifies key challenges and opportunities unique to EUGLOH&amp;#</w:t>
      </w:r>
      <w:proofErr w:type="gramStart"/>
      <w:r>
        <w:t>39;s</w:t>
      </w:r>
      <w:proofErr w:type="gramEnd"/>
    </w:p>
    <w:p w:rsidR="00550515" w:rsidRDefault="00550515" w:rsidP="00550515">
      <w:r>
        <w:t>context, such as the need for institutional and regulatory support, the value of partnerships with</w:t>
      </w:r>
    </w:p>
    <w:p w:rsidR="00550515" w:rsidRDefault="00550515" w:rsidP="00550515">
      <w:proofErr w:type="gramStart"/>
      <w:r>
        <w:t>non-academic</w:t>
      </w:r>
      <w:proofErr w:type="gramEnd"/>
      <w:r>
        <w:t xml:space="preserve"> stakeholders, and the development of multilingual and multicultural learning</w:t>
      </w:r>
    </w:p>
    <w:p w:rsidR="00550515" w:rsidRDefault="00550515" w:rsidP="00550515">
      <w:r>
        <w:t>environments as key elments of a functioning ecosystem of lifelong learning. It emphasises the role</w:t>
      </w:r>
    </w:p>
    <w:p w:rsidR="00550515" w:rsidRDefault="00550515" w:rsidP="00550515">
      <w:r>
        <w:t>of Higher Education Institutions (HEIs) in promoting an effective LLL culture at local, regional,</w:t>
      </w:r>
    </w:p>
    <w:p w:rsidR="00550515" w:rsidRDefault="00550515" w:rsidP="00550515">
      <w:r>
        <w:t>national, and international levels.</w:t>
      </w:r>
    </w:p>
    <w:p w:rsidR="00550515" w:rsidRDefault="00550515" w:rsidP="00550515">
      <w:r>
        <w:t>Drawing on best practices from EUGLOH partner universities, the plan highlights successful initiatives</w:t>
      </w:r>
    </w:p>
    <w:p w:rsidR="00550515" w:rsidRDefault="00550515" w:rsidP="00550515">
      <w:r>
        <w:t>such as LMU Munich&amp;#</w:t>
      </w:r>
      <w:proofErr w:type="gramStart"/>
      <w:r>
        <w:t>39;s</w:t>
      </w:r>
      <w:proofErr w:type="gramEnd"/>
      <w:r>
        <w:t xml:space="preserve"> Centre for Senior Studies, Lund University&amp;#39;s EduLab, and the University of</w:t>
      </w:r>
    </w:p>
    <w:p w:rsidR="00550515" w:rsidRDefault="00550515" w:rsidP="00550515">
      <w:r>
        <w:t>Szeged&amp;#</w:t>
      </w:r>
      <w:proofErr w:type="gramStart"/>
      <w:r>
        <w:t>39;s</w:t>
      </w:r>
      <w:proofErr w:type="gramEnd"/>
      <w:r>
        <w:t xml:space="preserve"> Cooperative Courses. These examples showcase innovative approaches to lifelong learning,</w:t>
      </w:r>
    </w:p>
    <w:p w:rsidR="00550515" w:rsidRDefault="00550515" w:rsidP="00550515">
      <w:r>
        <w:t>including flexible teaching strategies, integration of career planning, and digital platforms for course</w:t>
      </w:r>
    </w:p>
    <w:p w:rsidR="00550515" w:rsidRDefault="00550515" w:rsidP="00550515">
      <w:r>
        <w:t>delivery.</w:t>
      </w:r>
    </w:p>
    <w:p w:rsidR="00550515" w:rsidRDefault="00550515" w:rsidP="00550515">
      <w:r>
        <w:t>The Action Plan, based on recent reflections on policies and strategies of opening Higher Education</w:t>
      </w:r>
    </w:p>
    <w:p w:rsidR="00550515" w:rsidRDefault="00550515" w:rsidP="00550515">
      <w:r>
        <w:t>(Dollhausen and Jütte, 2023), outlines a comprehensive roadmap for implementing a joint LLL</w:t>
      </w:r>
    </w:p>
    <w:p w:rsidR="00550515" w:rsidRDefault="00550515" w:rsidP="00550515">
      <w:r>
        <w:t>programme, with a vision centred on inclusivity, flexibility, and accessibility. Key goals include</w:t>
      </w:r>
    </w:p>
    <w:p w:rsidR="00550515" w:rsidRDefault="00550515" w:rsidP="00550515"/>
    <w:p w:rsidR="00550515" w:rsidRDefault="00550515" w:rsidP="00550515">
      <w:r>
        <w:t>promoting LLL as a core function of HEIs, innovating curricular and pedagogical approaches,</w:t>
      </w:r>
    </w:p>
    <w:p w:rsidR="00550515" w:rsidRDefault="00550515" w:rsidP="00550515">
      <w:r>
        <w:t xml:space="preserve">improving quality assurance, and strengthening partnerships with </w:t>
      </w:r>
      <w:proofErr w:type="gramStart"/>
      <w:r>
        <w:t>non-academic</w:t>
      </w:r>
      <w:proofErr w:type="gramEnd"/>
      <w:r>
        <w:t xml:space="preserve"> stakeholders. The</w:t>
      </w:r>
    </w:p>
    <w:p w:rsidR="00550515" w:rsidRDefault="00550515" w:rsidP="00550515">
      <w:r>
        <w:t>plan also addresses the importance of overcoming language barriers and engaging academic staff in</w:t>
      </w:r>
    </w:p>
    <w:p w:rsidR="00550515" w:rsidRDefault="00550515" w:rsidP="00550515">
      <w:r>
        <w:t>LLL initiatives.</w:t>
      </w:r>
    </w:p>
    <w:p w:rsidR="00550515" w:rsidRDefault="00550515" w:rsidP="00550515">
      <w:r>
        <w:t>Finally, the presentation will draw conclusions upon the Action Plan referring to choices and</w:t>
      </w:r>
    </w:p>
    <w:p w:rsidR="00550515" w:rsidRDefault="00550515" w:rsidP="00550515">
      <w:r>
        <w:t>limitiations of its implementation based on European level initiatives as European University</w:t>
      </w:r>
    </w:p>
    <w:p w:rsidR="00550515" w:rsidRDefault="00550515" w:rsidP="00550515">
      <w:r>
        <w:t>Initiative wirh vision on University LLL.</w:t>
      </w:r>
    </w:p>
    <w:p w:rsidR="00550515" w:rsidRDefault="00550515" w:rsidP="00550515">
      <w:r>
        <w:t>Resources:</w:t>
      </w:r>
    </w:p>
    <w:p w:rsidR="00550515" w:rsidRDefault="00550515" w:rsidP="00550515">
      <w:r>
        <w:t>De Viron, F., &amp;amp; Davies, P. (2015). From University Lifelong Learning to Lifelong Learning Universities:</w:t>
      </w:r>
    </w:p>
    <w:p w:rsidR="00550515" w:rsidRDefault="00550515" w:rsidP="00550515">
      <w:r>
        <w:t>Developing and Implementing Effective Strategies. In J. Yang, C. Schneller, &amp;amp; S. Roche (Eds.), The Role</w:t>
      </w:r>
    </w:p>
    <w:p w:rsidR="00550515" w:rsidRDefault="00550515" w:rsidP="00550515">
      <w:r>
        <w:t>of Higher Education in Promoting Lifelong Learning (pp. 40-59). UIL.</w:t>
      </w:r>
    </w:p>
    <w:p w:rsidR="00550515" w:rsidRDefault="00550515" w:rsidP="00550515">
      <w:r>
        <w:t>https://files.eric.ed.gov/fulltext/ED564050.pdf</w:t>
      </w:r>
    </w:p>
    <w:p w:rsidR="00550515" w:rsidRDefault="00550515" w:rsidP="00550515">
      <w:r>
        <w:t>Cendon, E., Kesli, U. &amp;amp; Orr, K. (2023) University Lifelong Learning as flexible learning, European</w:t>
      </w:r>
    </w:p>
    <w:p w:rsidR="00550515" w:rsidRDefault="00550515" w:rsidP="00550515">
      <w:r>
        <w:lastRenderedPageBreak/>
        <w:t>Journal of University Lifelong Learning, 7(1), pp. 1-5. © eucen, 2023.</w:t>
      </w:r>
    </w:p>
    <w:p w:rsidR="00550515" w:rsidRDefault="00550515" w:rsidP="00550515">
      <w:r>
        <w:t>https://doi.org/10.53807/0701f9s8</w:t>
      </w:r>
    </w:p>
    <w:p w:rsidR="00550515" w:rsidRDefault="00550515" w:rsidP="00550515">
      <w:r>
        <w:t>Dollhausen, K., &amp;amp; Jütte, W. (2023). Higher Education and Lifelong Learning. In K. Evans, W. O. Lee, J.</w:t>
      </w:r>
    </w:p>
    <w:p w:rsidR="00550515" w:rsidRDefault="00550515" w:rsidP="00550515">
      <w:r>
        <w:t>Markowitsch, &amp;amp; M. Zukas (Eds.), Springer International Handbooks of Education. Third International</w:t>
      </w:r>
    </w:p>
    <w:p w:rsidR="00550515" w:rsidRDefault="00550515" w:rsidP="00550515">
      <w:r>
        <w:t>Handbook of Lifelong Learning (pp. 397-420). Cham: Springer International Publishing.</w:t>
      </w:r>
    </w:p>
    <w:p w:rsidR="00550515" w:rsidRDefault="00550515" w:rsidP="00550515">
      <w:r>
        <w:t>https://doi.org/10.1007/978-3-031-19592-1_21</w:t>
      </w:r>
    </w:p>
    <w:p w:rsidR="00550515" w:rsidRDefault="00550515" w:rsidP="00550515">
      <w:r>
        <w:t>Az előadáshoz kapcsolódóan 3-3 kulcsszó magyarul és angolul:</w:t>
      </w:r>
    </w:p>
    <w:p w:rsidR="00550515" w:rsidRDefault="00550515" w:rsidP="00550515">
      <w:r>
        <w:t>Felsőoktatási LLL, stratégia és innováció/ university lifelong learning, strategy, innovation</w:t>
      </w:r>
    </w:p>
    <w:sectPr w:rsidR="00550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2D4"/>
    <w:rsid w:val="00550515"/>
    <w:rsid w:val="007D20D9"/>
    <w:rsid w:val="00DA2178"/>
    <w:rsid w:val="00FE12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6AEB"/>
  <w15:chartTrackingRefBased/>
  <w15:docId w15:val="{F13C4071-94E5-478C-992A-23FCECA2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5159</Words>
  <Characters>35599</Characters>
  <Application>Microsoft Office Word</Application>
  <DocSecurity>0</DocSecurity>
  <Lines>296</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Csuka Dalma</dc:creator>
  <cp:keywords/>
  <dc:description/>
  <cp:lastModifiedBy>Könyvtár</cp:lastModifiedBy>
  <cp:revision>2</cp:revision>
  <dcterms:created xsi:type="dcterms:W3CDTF">2025-05-16T06:06:00Z</dcterms:created>
  <dcterms:modified xsi:type="dcterms:W3CDTF">2025-05-16T06:06:00Z</dcterms:modified>
</cp:coreProperties>
</file>