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2789" w:rsidRPr="00504C47" w:rsidRDefault="003A52BC">
      <w:pPr>
        <w:rPr>
          <w:b/>
        </w:rPr>
      </w:pPr>
      <w:r w:rsidRPr="00504C47">
        <w:rPr>
          <w:b/>
        </w:rPr>
        <w:t>J. szekció</w:t>
      </w:r>
    </w:p>
    <w:p w:rsidR="003A52BC" w:rsidRPr="00504C47" w:rsidRDefault="003A52BC">
      <w:pPr>
        <w:rPr>
          <w:b/>
        </w:rPr>
      </w:pPr>
      <w:r w:rsidRPr="00504C47">
        <w:rPr>
          <w:b/>
        </w:rPr>
        <w:t>Shairil Bhardwaj</w:t>
      </w:r>
    </w:p>
    <w:p w:rsidR="003A52BC" w:rsidRPr="00504C47" w:rsidRDefault="003A52BC" w:rsidP="003A52BC">
      <w:pPr>
        <w:rPr>
          <w:b/>
        </w:rPr>
      </w:pPr>
      <w:r w:rsidRPr="00504C47">
        <w:rPr>
          <w:b/>
        </w:rPr>
        <w:t>Előadás cím: Competencies of adult learning professionals that need to be improved</w:t>
      </w:r>
    </w:p>
    <w:p w:rsidR="003A52BC" w:rsidRDefault="003A52BC" w:rsidP="003A52BC">
      <w:r>
        <w:t>Abstract:</w:t>
      </w:r>
    </w:p>
    <w:p w:rsidR="003A52BC" w:rsidRDefault="003A52BC" w:rsidP="003A52BC">
      <w:r>
        <w:t xml:space="preserve">As technology and diversity continue to reshape educational contexts, adult learning professionals must adapt their competencies to meet emerging challenges. This presentation explores key areas requiring professional development, including the integration of digital tools for instructional design, course delivery, and online collaboration (Wang &amp; Wang, 2020), as well as the enhancement of group facilitation skills to foster engagement, participation, and inclusive learning environments (Kirschner, Kirschner, &amp; Paas, 2020). Moreover, it addresses the growing need for culturally responsive pedagogy to effectively engage learners from diverse backgrounds by respecting individual learning needs and promoting equity (Todorovic &amp; Elsner, 2021). Special attention is given to the findings of Lütje-Klose and Cramer (2017), who emphasize the significance of intercultural sensitivity and targeted competencies for educators working with refugees and migrants in Germany. Drawing on these perspectives, the session will highlight practical strategies and competency-building approaches that support the evolving role of adult learning professionals in </w:t>
      </w:r>
      <w:proofErr w:type="gramStart"/>
      <w:r>
        <w:t>non-formal</w:t>
      </w:r>
      <w:proofErr w:type="gramEnd"/>
      <w:r>
        <w:t xml:space="preserve"> and inclusive educational settings.</w:t>
      </w:r>
    </w:p>
    <w:p w:rsidR="003A52BC" w:rsidRDefault="003A52BC" w:rsidP="003A52BC">
      <w:r>
        <w:t>3-3 keywords related to the presentation: Technology, skills and development</w:t>
      </w:r>
    </w:p>
    <w:p w:rsidR="003A52BC" w:rsidRDefault="003A52BC">
      <w:r>
        <w:br w:type="page"/>
      </w:r>
    </w:p>
    <w:p w:rsidR="003A52BC" w:rsidRPr="003A52BC" w:rsidRDefault="003A52BC" w:rsidP="003A52BC">
      <w:pPr>
        <w:rPr>
          <w:b/>
        </w:rPr>
      </w:pPr>
      <w:r w:rsidRPr="003A52BC">
        <w:rPr>
          <w:b/>
        </w:rPr>
        <w:lastRenderedPageBreak/>
        <w:t>Wali Chizi Fineness</w:t>
      </w:r>
    </w:p>
    <w:p w:rsidR="003A52BC" w:rsidRPr="003A52BC" w:rsidRDefault="003A52BC" w:rsidP="003A52BC">
      <w:pPr>
        <w:rPr>
          <w:b/>
        </w:rPr>
      </w:pPr>
      <w:r w:rsidRPr="003A52BC">
        <w:rPr>
          <w:b/>
        </w:rPr>
        <w:t>Előadás cím Lifelong learning and employability skills in the 21st century labor market</w:t>
      </w:r>
    </w:p>
    <w:p w:rsidR="003A52BC" w:rsidRDefault="003A52BC" w:rsidP="003A52BC"/>
    <w:p w:rsidR="003A52BC" w:rsidRDefault="003A52BC" w:rsidP="003A52BC">
      <w:r>
        <w:t>Absztrakt angol:</w:t>
      </w:r>
    </w:p>
    <w:p w:rsidR="003A52BC" w:rsidRDefault="003A52BC" w:rsidP="003A52BC">
      <w:r>
        <w:t xml:space="preserve">The traditional notion that formal education alone is sufficient for long term employability in an era defined by rapid technological advancement, shifting employment patterns and the integration of artificial intelligence (AI) into the workplace is increasingly outdated. The 21st-century labor market demands more than ever the kinds of foundational digital and employability skills that are typically the focus of traditional education and training programs. In other for individuals to remain competitive and resilient in a dynamic labor environment, lifelong learning which encompasses formal, </w:t>
      </w:r>
      <w:proofErr w:type="gramStart"/>
      <w:r>
        <w:t>non-formal</w:t>
      </w:r>
      <w:proofErr w:type="gramEnd"/>
      <w:r>
        <w:t xml:space="preserve"> and informal learning is essential. Based on Sustainable Development Goals (SDG 4 and SDG 8), this paper examines the part that lifelong learning can </w:t>
      </w:r>
      <w:proofErr w:type="gramStart"/>
      <w:r>
        <w:t>play in</w:t>
      </w:r>
      <w:proofErr w:type="gramEnd"/>
      <w:r>
        <w:t xml:space="preserve"> ensuring everyone has access to the equitable, inclusive education system they need to obtain decent work. It looks at how AI and other digital technologies are reshaping job roles and considers the implications for the up skilling and re-skilling that are required of the labor force. It argues that these must be ongoing processes if we are to keep pace with the digital revolution.</w:t>
      </w:r>
    </w:p>
    <w:p w:rsidR="003A52BC" w:rsidRDefault="003A52BC" w:rsidP="003A52BC">
      <w:r>
        <w:t>This paper advocates for the construction of flexible, responsive education systems that will adequately prepare the workforce for the future. As a remedy, it suggests a path forward that involves much closer collaboration between policymakers, educators, employers and learners to create inclusive adaptive learning ecosystems that will focus on integrating digital tools and AI into the learning process. Adopting lifelong learning is a necessity for successful thrive in the workplace and not just a strategy for individual advancement.</w:t>
      </w:r>
    </w:p>
    <w:p w:rsidR="003A52BC" w:rsidRDefault="003A52BC" w:rsidP="003A52BC">
      <w:r>
        <w:t>3-3 keywords related to the presentation:</w:t>
      </w:r>
    </w:p>
    <w:p w:rsidR="003A52BC" w:rsidRDefault="003A52BC" w:rsidP="003A52BC">
      <w:r>
        <w:t>Lifelong Learning, employability skills, 21st Century Labor Market.</w:t>
      </w:r>
    </w:p>
    <w:p w:rsidR="003A52BC" w:rsidRDefault="003A52BC">
      <w:r>
        <w:br w:type="page"/>
      </w:r>
    </w:p>
    <w:p w:rsidR="003A52BC" w:rsidRPr="003A52BC" w:rsidRDefault="003A52BC" w:rsidP="003A52BC">
      <w:pPr>
        <w:rPr>
          <w:b/>
        </w:rPr>
      </w:pPr>
      <w:r w:rsidRPr="003A52BC">
        <w:rPr>
          <w:b/>
        </w:rPr>
        <w:lastRenderedPageBreak/>
        <w:t>Uitumen Erdenezul</w:t>
      </w:r>
    </w:p>
    <w:p w:rsidR="003A52BC" w:rsidRPr="003A52BC" w:rsidRDefault="003A52BC" w:rsidP="003A52BC">
      <w:pPr>
        <w:rPr>
          <w:b/>
        </w:rPr>
      </w:pPr>
      <w:r w:rsidRPr="003A52BC">
        <w:rPr>
          <w:b/>
        </w:rPr>
        <w:t>Előadás cím: Factor analysis of the Mongolian version of the healthy lifestyle questionnaire for university students in Mongolia</w:t>
      </w:r>
    </w:p>
    <w:p w:rsidR="003A52BC" w:rsidRDefault="003A52BC" w:rsidP="003A52BC"/>
    <w:p w:rsidR="003A52BC" w:rsidRDefault="003A52BC" w:rsidP="003A52BC">
      <w:r>
        <w:t>Abstract</w:t>
      </w:r>
    </w:p>
    <w:p w:rsidR="003A52BC" w:rsidRDefault="003A52BC" w:rsidP="003A52BC">
      <w:r>
        <w:t>Background: The Health-Promoting Lifestyle Profile II (HPLP-II) has been widely used and validated in several countries and languages. However, the instrument has not been psychometrically tested for the Mongolian population. The purpose of this study was to examine the reliability and factor structure of the Mongolian version of the HPLP-II for Mongolian university students.</w:t>
      </w:r>
    </w:p>
    <w:p w:rsidR="003A52BC" w:rsidRDefault="003A52BC" w:rsidP="003A52BC">
      <w:r>
        <w:t>Methods: A cross-sectional study design was used among 827 undergraduate students from three public universities in the Ulaanbaatar city, Mongolia. Data collected between April and May, 2024 The HPLP-II was translated into Mongolian, with six subscales and 51 items, using the standard forward and backward translation procedure. Confirmatory factor analysis was performed to examine the construct validity, and the internal consistency was assessed using Cronbach’s alpha on the six subscales.</w:t>
      </w:r>
    </w:p>
    <w:p w:rsidR="003A52BC" w:rsidRDefault="003A52BC" w:rsidP="003A52BC">
      <w:r>
        <w:t xml:space="preserve">Results: The CFA showed acceptable goodness-of-fit indices (χ²=2152.19; p&lt;.001; Root Mean Error of Approximation=.031; Comparative Fit Index=.952; Tucker-Lewis Index, Goodness of Fit Index =.950. The overall Cronbach’s alpha coefficient for the total scale was acceptable (.91), and the six subscales were ranged between .56 </w:t>
      </w:r>
      <w:proofErr w:type="gramStart"/>
      <w:r>
        <w:t>to .</w:t>
      </w:r>
      <w:proofErr w:type="gramEnd"/>
      <w:r>
        <w:t xml:space="preserve">84. The Nutrition subscale had the lowest Cronbach’s α value. </w:t>
      </w:r>
    </w:p>
    <w:p w:rsidR="003A52BC" w:rsidRDefault="003A52BC" w:rsidP="003A52BC">
      <w:r>
        <w:t>Conclusion: The Mongolian version of the HPLP-II is valid and reliable instrument for assessing health lifestyles of university students. However, the items of the nutrition subscale should be considered and updated for conducting appropriate future studies.</w:t>
      </w:r>
    </w:p>
    <w:p w:rsidR="003A52BC" w:rsidRDefault="003A52BC" w:rsidP="003A52BC">
      <w:r>
        <w:t>This work was supported by the Research Program for Public Education Development for the Hungarian Academy of Sciences.</w:t>
      </w:r>
    </w:p>
    <w:p w:rsidR="003A52BC" w:rsidRDefault="003A52BC" w:rsidP="003A52BC">
      <w:r>
        <w:t>3-3 keywords related to the presentation:</w:t>
      </w:r>
    </w:p>
    <w:p w:rsidR="003A52BC" w:rsidRDefault="003A52BC" w:rsidP="003A52BC">
      <w:r>
        <w:t>Keywords: factor analysis, student health, health promotion, questionnaire</w:t>
      </w:r>
    </w:p>
    <w:p w:rsidR="003A52BC" w:rsidRDefault="003A52BC">
      <w:r>
        <w:br w:type="page"/>
      </w:r>
    </w:p>
    <w:p w:rsidR="003A52BC" w:rsidRPr="003A52BC" w:rsidRDefault="003A52BC" w:rsidP="003A52BC">
      <w:pPr>
        <w:rPr>
          <w:b/>
        </w:rPr>
      </w:pPr>
      <w:r w:rsidRPr="003A52BC">
        <w:rPr>
          <w:b/>
        </w:rPr>
        <w:lastRenderedPageBreak/>
        <w:t>Mikelayi Wumaier</w:t>
      </w:r>
    </w:p>
    <w:p w:rsidR="003A52BC" w:rsidRPr="003A52BC" w:rsidRDefault="003A52BC" w:rsidP="003A52BC">
      <w:pPr>
        <w:rPr>
          <w:b/>
        </w:rPr>
      </w:pPr>
      <w:r w:rsidRPr="003A52BC">
        <w:rPr>
          <w:b/>
        </w:rPr>
        <w:t>Előadás cím: SURVEYING UNIVERSITY STUDENTS' KNOWLEDGE OF CLIMATE CHANGE AND COMPARING THE RESULTS BASED ON DIFFERENT MAJORS</w:t>
      </w:r>
    </w:p>
    <w:p w:rsidR="003A52BC" w:rsidRDefault="003A52BC" w:rsidP="003A52BC">
      <w:r>
        <w:t>Absztrakt magyar:</w:t>
      </w:r>
    </w:p>
    <w:p w:rsidR="003A52BC" w:rsidRDefault="003A52BC" w:rsidP="003A52BC">
      <w:r>
        <w:t xml:space="preserve">A Világról alkotott képünknek és a jövőnket meghatározó tényezőknek egyaránt növekvő fontosságú összetevője a klímaváltozás. Ezzel kapcsolatos tudásunk és viszonyulásunk (attitűdünk) egyre fontosabb szerepet játszik abban, hogy a ma még talán túlzó „klíma-katasztrófa”, vagyis a földi éghajlat visszafordíthatatlan megváltozása végül elkerülhető legyen. Az ezzel kapcsolatos kutatásaink célcsoportja a fiatal felnőttek, azaz első és második éves, nappali tagozatos egyetemi hallgatók. E vizsgálatok első lépése egy elő-felmérés, amit ezen összefoglaló benyújtásáig három egyetem 460 nappali tagozatos hallgatójával tudtuk kitöltetni. A most bemutatandó vizsgálataink arra a kérdésre keresik a választ, hogy milyen ismeretekkel, és milyen attitűddel rendelkeznek az egyetemi hallgatók a klímaváltozás témakörében, és mindez hogyan függ a képzési területtől. A kérdőív 25 kérdést tartalmazott, amelyekhez 3-3 válasz közül kellett kiválasztani a megfelelőt. Így minden előzetes tudás nélkül is 33,3%-ot el lehetett érni várható értékként a válaszok véletlen kiválasztásával. Az egyenként 5-5 kérdést tartalmazó kérdéskörök a következők: „Okok és folyamatok”, „Megfigyelt és előrejelzett változások”, „Hatások, alkalmazkodás” „Kibocsátás-mérséklés” „Életmód, attitűd”. A fenti számból 206 választ helyszíni kitöltéssel egri Eszterházy Károly Katolikus Egyetemen tudtunk felvenni, míg az ELTE szombathelyi Savaria Karán 209 választ kaptunk. Bár eredetileg ez nem volt célunk, mégis mindkét egyetemen olyan nagylétszámú csoportokhoz látogattunk be, ahol a hallgatók szakja nem volt kapcsolatos a természet-tudományokkal. Ezért, kiegészítésképpen a Soproni Egyetemen további 45 választ gyűjtöttünk be, akik mindnyájan első éves erdőmérnök hallgatók voltak, vagyis feltételezhettünk róluk valamilyen érdeklődést a klímaváltozás iránt. Ugyanakkor, a klímaváltozás tananyagként még nem szerepelt az ő képzésükben sem. Az egri válaszokat a felvétel helye szerint öt csoportba soroltuk, a szombathelyi csoportok száma hat, míg a soproni válaszok egyetlen csoportot alkottak. Így valamennyi csoportba legalább 21 illetve legfeljebb 81 hasonló szakot teljesítő válaszadó hallgató tartozott. A papír alapon kitöltött válaszokat feldolgozó Excel programot magunk szerkesztettük. Az </w:t>
      </w:r>
      <w:proofErr w:type="gramStart"/>
      <w:r>
        <w:t>adat feldolgozáshoz</w:t>
      </w:r>
      <w:proofErr w:type="gramEnd"/>
      <w:r>
        <w:t xml:space="preserve"> az Excel programot alkalmaztunk, és ennek követelményeképpen az előzetes eredményekre jutottunk, a két egyetem válaszainak átlaga gyakorlatilag azonos, 38,7%, illetve 38,5 %, a köztük mutatkozó különbség a t-próba szerint nem szignifikáns. Gyakorlatilag azonos, az F-próba szerint nem szignifikáns, az egyes hallgatók eredményeinek szórása is a két nagy mintán. Ugyanakkor, a soproni erdőmérnök hallgatók átlagos eredménye 41,3 % ami enyhén (90%-os szinten) magasabb a másik két egyetem hallgatói átlagánál. Az előadáson természetesen bemutatásra kerülnek az eredeti célkitűzésnek megfelelő, azaz a képzési területek közötti különbségek éppúgy, mint a kérdéscsoportok közötti </w:t>
      </w:r>
      <w:proofErr w:type="gramStart"/>
      <w:r>
        <w:t>eltérések..</w:t>
      </w:r>
      <w:proofErr w:type="gramEnd"/>
    </w:p>
    <w:p w:rsidR="003A52BC" w:rsidRDefault="003A52BC" w:rsidP="003A52BC">
      <w:r>
        <w:t>Absztrakt angol:</w:t>
      </w:r>
    </w:p>
    <w:p w:rsidR="003A52BC" w:rsidRDefault="003A52BC" w:rsidP="003A52BC">
      <w:r>
        <w:t>SURVEYING UNIVERSITY STUDENTS' KNOWLEDGE OF CLIMATE CHANGE AND COMPARING THE RESULTS BASED ON DIFFERENT MAJORS</w:t>
      </w:r>
    </w:p>
    <w:p w:rsidR="003A52BC" w:rsidRDefault="003A52BC" w:rsidP="003A52BC">
      <w:r>
        <w:t xml:space="preserve">Climate change is an increasingly important component of both our view of the world and the factors determining our future. Our knowledge and attitude regarding it play an increasingly important role in ultimately avoiding the “climate catastrophe”, which is perhaps exaggerated today, i.e. the irreversible change of the Earth’s climate. The target group of our research in this regard is young adults, i.e. first and second year, full-time university students. The first step of these studies is a </w:t>
      </w:r>
      <w:proofErr w:type="gramStart"/>
      <w:r>
        <w:t>pre-survey</w:t>
      </w:r>
      <w:proofErr w:type="gramEnd"/>
      <w:r>
        <w:t xml:space="preserve">, which we were able to have completed by 460 full-time students from three universities by the time this summary was submitted. Our studies to be presented now seek to answer the question </w:t>
      </w:r>
      <w:r>
        <w:lastRenderedPageBreak/>
        <w:t>of what knowledge and attitude university students have regarding the topic of climate change, and how this depends on the field of study. The questionnaire contained 25 questions, for which the correct answer had to be selected from 3 answers. Thus, even without any prior knowledge, 33.3% could be achieved as an expected value by randomly selecting the answers. The question sets, each containing 5 questions, are as follows: “Causes and processes”, “Observed and predicted changes”, “Impacts, adaptation”, “Emission mitigation”, “Lifestyle, attitude”. Of the above number, we were able to collect 206 answers by filling them out on site at the Eszterházy Károly Catholic University in Eger, while we received 209 answers at the Savaria Faculty of ELTE in Szombathely. Although this was not our original goal, we nevertheless visited large groups at both universities where the students’ majors were not related to natural sciences. Therefore, as a supplement, we collected an additional 45 answers at the University of Sopron, all of whom were first-year forest engineering students, meaning we could assume some interest in climate change. At the same time, climate change was not yet included as a subject in their training either. The responses from Eger were divided into five groups according to the location of the survey, the number of groups from Szombathely was six, while the responses from Sopron formed a single group. Thus, each group included at least 21 and at most 81 responding students completing similar majors. We edited the Excel program that processed the paper-based responses ourselves. We used Excel programs for data processing, and as a requirement of this, we arrived at the preliminary results, the average of the responses from the two universities is practically identical, 38.7% and 38.5%, respectively, and the difference between them is not significant according to the t-test. The standard deviation of the results of the individual students in the two large samples is practically identical, not significant according to the F-test. At the same time, the average result of the forestry engineering students from Sopron is 41.3%, which is slightly (at the 90% level) higher than the average of the students from the other two universities. The presentation will of course present the differences between the training areas as well as the differences between the question groups, in line with the original objective.</w:t>
      </w:r>
    </w:p>
    <w:p w:rsidR="003A52BC" w:rsidRDefault="003A52BC" w:rsidP="003A52BC">
      <w:r>
        <w:t>Az előadáshoz kapcsolódóan 3-3 kulcsszó magyarul és angolul:</w:t>
      </w:r>
    </w:p>
    <w:p w:rsidR="003A52BC" w:rsidRDefault="003A52BC" w:rsidP="003A52BC">
      <w:r>
        <w:t>Keywords: climate change, university students, knowledge assessment, comparative analysis, attitude survey.</w:t>
      </w:r>
    </w:p>
    <w:p w:rsidR="003A52BC" w:rsidRDefault="003A52BC" w:rsidP="003A52BC">
      <w:r>
        <w:t xml:space="preserve">Kulcsszavak: klÍmaváltozás, egyetemi </w:t>
      </w:r>
      <w:proofErr w:type="gramStart"/>
      <w:r>
        <w:t>hallgatók,tudásfelmérés</w:t>
      </w:r>
      <w:proofErr w:type="gramEnd"/>
      <w:r>
        <w:t>,összehasonlÍtás,attitűdvizsgálat</w:t>
      </w:r>
    </w:p>
    <w:p w:rsidR="003A52BC" w:rsidRDefault="003A52BC">
      <w:r>
        <w:br w:type="page"/>
      </w:r>
    </w:p>
    <w:p w:rsidR="003A52BC" w:rsidRPr="003A52BC" w:rsidRDefault="003A52BC" w:rsidP="003A52BC">
      <w:pPr>
        <w:rPr>
          <w:b/>
        </w:rPr>
      </w:pPr>
      <w:r w:rsidRPr="003A52BC">
        <w:rPr>
          <w:b/>
        </w:rPr>
        <w:lastRenderedPageBreak/>
        <w:t>Tóth Judit</w:t>
      </w:r>
    </w:p>
    <w:p w:rsidR="003A52BC" w:rsidRPr="003A52BC" w:rsidRDefault="003A52BC" w:rsidP="003A52BC">
      <w:pPr>
        <w:rPr>
          <w:b/>
        </w:rPr>
      </w:pPr>
      <w:r w:rsidRPr="003A52BC">
        <w:rPr>
          <w:b/>
        </w:rPr>
        <w:t>Előadás cím: International trends in the assessment of historical thinking in school-leaving history exam tasks</w:t>
      </w:r>
    </w:p>
    <w:p w:rsidR="003A52BC" w:rsidRDefault="003A52BC" w:rsidP="003A52BC">
      <w:r>
        <w:t>Absztrakt magyar:</w:t>
      </w:r>
    </w:p>
    <w:p w:rsidR="003A52BC" w:rsidRDefault="003A52BC" w:rsidP="003A52BC">
      <w:r>
        <w:t>Az egész életen át tartó tanulás, a 21. századi készségek, illetve azok fejlesztése a történelem tantárgy keretein belül is előtérbe kerültek, viszont a reprodukción túlmutató, magasabb rendű kognitív műveletek értékelése és feladatfejlesztése jóval összetettebb, mint a deklaratív tudásra vonatkozó feladatok készítése. Különösen a narratív jellegű történelem tantárgyban, melyben a mérési követelmények értelmezése nem kontextusfüggetlen. A 21. századi történelemtanítás célját a történelmi gondolkodás fejlesztésében lehetne megragadni, melyek mindazok a kognitív képességek (pl.: analitikus készség) amelyek hozzájárulnak a történelem értő vizsgálatához.</w:t>
      </w:r>
    </w:p>
    <w:p w:rsidR="003A52BC" w:rsidRDefault="003A52BC" w:rsidP="003A52BC">
      <w:r>
        <w:t>Az előadás célja, hogy bemutassa és elemezze az Advanced Placement történelem vizsgák, valamint Skócia történelemérettségi vizsgáinak legfőbb feladatait, iránymutatásként szolgálva a magyarországi érettségi feladatok fejlesztésében.</w:t>
      </w:r>
    </w:p>
    <w:p w:rsidR="003A52BC" w:rsidRDefault="003A52BC" w:rsidP="003A52BC">
      <w:r>
        <w:t>A téma azért aktualitás, mert mind a hazai, mind a nemzetközi történelemdidaktikai diskurzusban az elmúlt 10 évben mindössze néhány, a történeti tudás mérésére irányuló, a magas téttel rendelkező vizsgák fejlesztésére vonatkozó írás jelent meg (pl.: Ercikan -Seixas, 2015, Domíngez et al 2021). Miközben a történelemérettségi vizsgák taxonómiai, feladattipológiai elemzése a fejlesztések alapján adja a tényekre épülő szakpolitika (evidence based policy) miatt.</w:t>
      </w:r>
    </w:p>
    <w:p w:rsidR="003A52BC" w:rsidRDefault="003A52BC" w:rsidP="003A52BC">
      <w:r>
        <w:t>A kutatás során a tartalomelemzés módszerével feldolgoztam az kutatásom szempontjából elsődleges forrásnak tekinthető jogszabályokat, feladatlapokat, vizsgaleírásokat, javítási–értékelési útmutatókat. Ezek a skóciai Scottish Qualifications Authority, valamint a College Board (USA) gondozásában készült AP vizsgáztatáshoz kapcsolódnak. Mivel az AP: World History és a skóciai Higher és Advanced Higher történelem vizsgák standardizált feladatbankkal rendelkeznek, így egy–egy vizsgaidőszak feladatlapján keresztül mutatom be és elemzem a feladatokat Van Drie és Van Boxtel (2023) történelmi gondolkodás (historical reasoning) koncepcióját kívánom felhasználni.</w:t>
      </w:r>
    </w:p>
    <w:p w:rsidR="003A52BC" w:rsidRDefault="003A52BC" w:rsidP="003A52BC">
      <w:r>
        <w:t>Magyarországon a tartalmi szabályozók és az érettségi feladatainak mérési követelményei (pl.: történelmi gondolkodás mérése) között diszharmónia fedezhető fel. E munka nemzetközi példákon keresztül olyan mérésmetodikai eljárásokat mutat be, melyek a történelmi gondolkodás mérésére fókuszálnak. A kutatás eredményei ebből adódóan a magyarországi vizsgafejlesztés szempontjából is irányadóak, mivel a jó gyakorlatok detektálása révén lehetségessé válhat a magyarországi történelemérettségi feladatok fejlesztési irányának, gyakorlatainak bővítése.</w:t>
      </w:r>
    </w:p>
    <w:p w:rsidR="003A52BC" w:rsidRDefault="003A52BC" w:rsidP="003A52BC">
      <w:r>
        <w:t>Absztrakt angol:</w:t>
      </w:r>
    </w:p>
    <w:p w:rsidR="003A52BC" w:rsidRDefault="003A52BC" w:rsidP="003A52BC">
      <w:r>
        <w:t>21st century skills and their development have brought to the fore within the history subject, causing the development of adaptive skills for lifelong learning. However, the assessment and task development of higher order cognitive operations going beyond reproduction is much more complex than the production of tasks for declarative knowledge. Especially in the narrative history subject, where the interpretation of the assessment requirements is context-dependent. The goal of teaching history in the 21st century could be captured in the development of historical thinking, which are all the cognitive skills (e.g. analytical skills) that contribute to the meaningful study of history.</w:t>
      </w:r>
    </w:p>
    <w:p w:rsidR="003A52BC" w:rsidRDefault="003A52BC" w:rsidP="003A52BC">
      <w:r>
        <w:lastRenderedPageBreak/>
        <w:t>The aim of this presentation is to introduce and analyse the main tasks of the Advanced Placement history exams and the school-leaving exams in history in Scotland, providing policy advice for the development of the Hungarian exam.</w:t>
      </w:r>
    </w:p>
    <w:p w:rsidR="003A52BC" w:rsidRDefault="003A52BC" w:rsidP="003A52BC">
      <w:r>
        <w:t>The topic is relevant because in both the national and international discourse on history didactics, only a few papers on the development of high-stakes examinations for assessing of historical knowledge have been published in the last 10 years (e.g. Ercikan -Seixas, 2015, Domíngez et al 2021). Whereas the taxonomic and task typological analysis of history maturity examinations provides a basis for development because of evidence-based policy.</w:t>
      </w:r>
    </w:p>
    <w:p w:rsidR="003A52BC" w:rsidRDefault="003A52BC" w:rsidP="003A52BC">
      <w:r>
        <w:t>I used content analysis to process the content regulatory documents, as well as exam papers and answer keys. These were the primary sources of my research. These relate to AP examinations produced by the Scottish Qualifications Authority in Scotland and the College Board (USA). As the AP: World History and the Scottish Higher and Advanced Higher history examinations have a standardised question bank, I will present and analyse the tasks adapting Van Drie and Van Boxtel’s (2023) historical reasoning model.</w:t>
      </w:r>
    </w:p>
    <w:p w:rsidR="003A52BC" w:rsidRDefault="003A52BC" w:rsidP="003A52BC">
      <w:r>
        <w:t>In Hungary, a disharmony can be detected between requirements of the content regulators and the requirements posed by examination tasks. The results of the research are therefore also relevant for the development of the Hungarian school -leaving history exam, as the detection of good practices may enable the professionalisation of task development regarding the history school-leaving exam in Hungary.</w:t>
      </w:r>
    </w:p>
    <w:p w:rsidR="003A52BC" w:rsidRDefault="003A52BC" w:rsidP="003A52BC">
      <w:r>
        <w:t>Az előadáshoz kapcsolódóan 3-3 kulcsszó magyarul és angolul:</w:t>
      </w:r>
    </w:p>
    <w:p w:rsidR="003A52BC" w:rsidRDefault="003A52BC" w:rsidP="003A52BC">
      <w:r>
        <w:t>kulcsszavak: történelemdidaktika, pedagógiai értékelés, történelmi gondolkodás, érettségi</w:t>
      </w:r>
    </w:p>
    <w:p w:rsidR="003A52BC" w:rsidRDefault="003A52BC" w:rsidP="003A52BC">
      <w:r>
        <w:t>keywords: history didactics, educational assessment, historical thinking, matura exams</w:t>
      </w:r>
    </w:p>
    <w:p w:rsidR="003A52BC" w:rsidRDefault="003A52BC">
      <w:r>
        <w:br w:type="page"/>
      </w:r>
    </w:p>
    <w:p w:rsidR="003A52BC" w:rsidRPr="003A52BC" w:rsidRDefault="003A52BC" w:rsidP="003A52BC">
      <w:pPr>
        <w:rPr>
          <w:b/>
        </w:rPr>
      </w:pPr>
      <w:r w:rsidRPr="003A52BC">
        <w:rPr>
          <w:b/>
        </w:rPr>
        <w:lastRenderedPageBreak/>
        <w:t>Boda-Ujlaky Judit Emma</w:t>
      </w:r>
    </w:p>
    <w:p w:rsidR="003A52BC" w:rsidRPr="003A52BC" w:rsidRDefault="003A52BC" w:rsidP="003A52BC">
      <w:pPr>
        <w:rPr>
          <w:b/>
        </w:rPr>
      </w:pPr>
      <w:r w:rsidRPr="003A52BC">
        <w:rPr>
          <w:b/>
        </w:rPr>
        <w:t>Előadás cím: The impact of dispositional healthy and unhealty self-conscious emotions on perceptual decision making</w:t>
      </w:r>
    </w:p>
    <w:p w:rsidR="003A52BC" w:rsidRDefault="003A52BC" w:rsidP="003A52BC">
      <w:r>
        <w:t>Absztrakt magyar:</w:t>
      </w:r>
    </w:p>
    <w:p w:rsidR="003A52BC" w:rsidRDefault="003A52BC" w:rsidP="003A52BC">
      <w:r>
        <w:t>A perceputális döntéshozatal, a szégyen, a bűntudat, az egészség és a fenntarthatóság közötti kapcsolat bonyolult, és rávilágít arra, hogy kognitív folyamataink és érzelmi reakcióink hogyan befolyásolják egymásba fonódva jóllétünket és a környezethez való viszonyunkat. A szégyen (önmagunk negatív értékelése) és a bűntudat (egy cselekvés negatív értékelése) akkor merülhet fel, amikor viselkedésünket a környezettal kapcsolatos felelősséggel és az egészséggel kapcsolatos belső és társadalmi normákhoz hasonlítjuk.</w:t>
      </w:r>
    </w:p>
    <w:p w:rsidR="003A52BC" w:rsidRDefault="003A52BC" w:rsidP="003A52BC">
      <w:r>
        <w:t>Jelen kutatás a diszpozicionális öntudatos érzelmek hatását vizsgálja a perceptuális döntéshozatal sebességére.</w:t>
      </w:r>
    </w:p>
    <w:p w:rsidR="003A52BC" w:rsidRDefault="003A52BC" w:rsidP="003A52BC">
      <w:r>
        <w:t>A diszpozicionális érzelmeket a TOSCA-3 kérdőív segítségével mértük, míg a perceptuális döntéshozatalt a véletlenszerű pontmozgás paradigma, a Random Dot Motion Paradigm (Random Dot Kinematogram) segítségével mértük több más változóval együtt egy felnőttekből álló mintán, két ülésben (N=117).</w:t>
      </w:r>
    </w:p>
    <w:p w:rsidR="003A52BC" w:rsidRDefault="003A52BC" w:rsidP="003A52BC">
      <w:r>
        <w:t>Eredményeink azt mutatják, hogy a perceptuális döntéshozatalt (azaz a reakcióidőt) befolyásolták a diszpozicionális érzelmek és a megjelenítési idő hossza (100/200/300/400 ms) közötti különbségek. Abban az esetben, amikor a pontok alacsony koherenciával mozogtak jobbra vagy balra (azaz nehéz volt a döntés), a magas vagy alacsony diszpozíciós bűntudattal rendelkezők hajlamosak voltak szignifikánsan lassabb döntéseket hozni, mint a közepes bűntudati hajlamúak. A megjelenítési idő növekedésével a reakcióidő is lassabbá vált, és interakciót találtunk a megjelenítési idő és a diszpozicionális érzelmek között. A szégyen esetében a reakcióidő gyorsabb volt alacsony diszpozíciós szégyenérzet esetén, mint magas szégyenérzet esetén. A magas diszpozicionális büszkeség vezetett a leggyorsabb reakciókhoz minden egyes megjelenítési időben, és ugyanez igaz a gőgre, vagyis a hübrisztikus büszkeségre is.</w:t>
      </w:r>
    </w:p>
    <w:p w:rsidR="003A52BC" w:rsidRDefault="003A52BC" w:rsidP="003A52BC">
      <w:r>
        <w:t>A szégyen, a büszkeség és a hübrisztikus büszkeség esetében a közepes értéket mutató csoport bizonyult a leglassabbnak, a bűntudat esetében a magas értéket mutató csoport.</w:t>
      </w:r>
    </w:p>
    <w:p w:rsidR="003A52BC" w:rsidRDefault="003A52BC" w:rsidP="003A52BC">
      <w:r>
        <w:t>Következtetésként elmondható, hogy a diszpozicionális éntudatos érzelmek komplex módon befolyásolják a perceptuális döntéshozatalt, bár úgy tűnik, hogy ezen érzelmek valenciája (azaz a negatív érzelmek hiánya és a pozitív érzelmek jelenléte, függetlenül azok feltételezett adaptivitásától) számít a legtöbbet. Lényegében az a képességünk, hogy érzékeljük és megértjük tetteink összefüggéseit a környezet egészségével és saját jólétünkkel, megalapozza az olyan érzelmi reakciókat, mint a szégyen és a bűntudat. Ezek az érzelmek aztán belső szabályozóként működhetnek, még érzékelési szinten is választások felé irányítanak minket, és ez befolyásolhatja fizikai és mentális egészségünket. Lényeges azonban, hogy ezeket az érzelmeket konstruktív módon pozitív cselekvésbe csatornázzuk, ahelyett, hogy elkerüléshez vagy kétségbeeséshez vezetnének.</w:t>
      </w:r>
    </w:p>
    <w:p w:rsidR="003A52BC" w:rsidRDefault="003A52BC" w:rsidP="003A52BC">
      <w:r>
        <w:t>A kutatást az NKFIH FK-125316 számú OTKA támogatás keretében végeztük.</w:t>
      </w:r>
    </w:p>
    <w:p w:rsidR="003A52BC" w:rsidRDefault="003A52BC" w:rsidP="003A52BC">
      <w:r>
        <w:t>Absztrakt angol:</w:t>
      </w:r>
    </w:p>
    <w:p w:rsidR="003A52BC" w:rsidRDefault="003A52BC" w:rsidP="003A52BC">
      <w:r>
        <w:t xml:space="preserve">The connection between perceptual decision-making, shame, guilt, health, and sustainability is intricate and highlights how our cognitive processes and emotional responses intertwine to influence our well-being and our relationship with the environment. Shame (negative evaluation of the self) </w:t>
      </w:r>
      <w:r>
        <w:lastRenderedPageBreak/>
        <w:t>and guilt (negative evaluation of an action) arise when we compare our behaviors against internal and societal standards related to environmental responsibility and health.</w:t>
      </w:r>
    </w:p>
    <w:p w:rsidR="003A52BC" w:rsidRDefault="003A52BC" w:rsidP="003A52BC">
      <w:r>
        <w:t>Present research investigates the impact of dispositional self-conscious emotions on the velocity of perceptual decision making. Dispositional emotions were measured by using the TOSCA-3 Questionnaire, while perceptual decision-making was measured using the Random Dot Motion Paradigm (Random Dot Kinematogram) along with several other variables in a two-session sample of adults (N=117).</w:t>
      </w:r>
    </w:p>
    <w:p w:rsidR="003A52BC" w:rsidRDefault="003A52BC" w:rsidP="003A52BC">
      <w:r>
        <w:t>Our results show that perceptual decision making (i.e. reaction time) was influenced by differences in dispositional emotion and the length of the display time, 100/200/300/400 ms). In the case where the dots moved with low coherence to the right or left (i.e., it was difficult to make a decision), those with high or low dispositional guilt tended to make significantly slower decisions compared to those with medium guilt tendency. As the display time increased, the reaction time became slower and interactions were found between display time and dispositional emotions. In the case of shame the reaction time was faster with low dispositional shame than with high. High dispositional pride led to the fastest reactions in each display time, and the same is true for hubristic pride. In the case of shame, pride and hubristic pride, medium value group proved to be the slowest, in the case of guilt, it was the high value group.</w:t>
      </w:r>
    </w:p>
    <w:p w:rsidR="003A52BC" w:rsidRDefault="003A52BC" w:rsidP="003A52BC">
      <w:r>
        <w:t>As a conclusion, dispositional self-conscious emotions influence perceptual decision making in a complex way, though, it seems that the valence of these emotions (i.e. the absence of negative ones and the presence of positive ones, regardless of their supposed adaptivity) matters the most. In essence, our ability to perceive and understand the interconnectedness of our actions with environmental health and our own well-being lays the groundwork for emotional responses like shame and guilt. These emotions can then act as internal regulators, guiding us toward choices even at perceptual level and it may influence our physical and mental health. However, it's crucial that these emotions are channeled constructively into positive action rather than leading to avoidance or despair.</w:t>
      </w:r>
    </w:p>
    <w:p w:rsidR="003A52BC" w:rsidRDefault="003A52BC" w:rsidP="003A52BC">
      <w:r>
        <w:t>The research was funded by the NKFIH under grant FK-125316.</w:t>
      </w:r>
    </w:p>
    <w:p w:rsidR="003A52BC" w:rsidRDefault="003A52BC" w:rsidP="003A52BC">
      <w:r>
        <w:t>Az előadáshoz kapcsolódóan 3-3 kulcsszó magyarul és angolul:</w:t>
      </w:r>
    </w:p>
    <w:p w:rsidR="003A52BC" w:rsidRDefault="003A52BC" w:rsidP="003A52BC">
      <w:r>
        <w:t>éntudatos érzelmek, mentális egészség, perceptuális döntéshozás</w:t>
      </w:r>
    </w:p>
    <w:p w:rsidR="003A52BC" w:rsidRDefault="003A52BC" w:rsidP="003A52BC">
      <w:r>
        <w:t>self-conscious emotions, mental health, perceptual decision making</w:t>
      </w:r>
    </w:p>
    <w:p w:rsidR="003A52BC" w:rsidRDefault="003A52BC">
      <w:r>
        <w:br w:type="page"/>
      </w:r>
    </w:p>
    <w:p w:rsidR="003A52BC" w:rsidRPr="003A52BC" w:rsidRDefault="003A52BC" w:rsidP="003A52BC">
      <w:pPr>
        <w:rPr>
          <w:b/>
        </w:rPr>
      </w:pPr>
      <w:bookmarkStart w:id="0" w:name="_GoBack"/>
      <w:bookmarkEnd w:id="0"/>
      <w:r w:rsidRPr="003A52BC">
        <w:rPr>
          <w:b/>
        </w:rPr>
        <w:lastRenderedPageBreak/>
        <w:t>Eötvös Soma</w:t>
      </w:r>
    </w:p>
    <w:p w:rsidR="003A52BC" w:rsidRPr="003A52BC" w:rsidRDefault="003A52BC" w:rsidP="003A52BC">
      <w:pPr>
        <w:rPr>
          <w:b/>
        </w:rPr>
      </w:pPr>
      <w:r w:rsidRPr="003A52BC">
        <w:rPr>
          <w:b/>
        </w:rPr>
        <w:t>Mennyit ér egy egyetemi képzés?</w:t>
      </w:r>
    </w:p>
    <w:p w:rsidR="003A52BC" w:rsidRDefault="003A52BC" w:rsidP="003A52BC">
      <w:r>
        <w:t>Absztrakt magyar:</w:t>
      </w:r>
    </w:p>
    <w:p w:rsidR="003A52BC" w:rsidRDefault="003A52BC" w:rsidP="003A52BC">
      <w:r>
        <w:t>A magyar felsőoktatási rendszer 2019 óta jelentős strukturális és szervezeti átalakuláson ment keresztül.</w:t>
      </w:r>
    </w:p>
    <w:p w:rsidR="003A52BC" w:rsidRDefault="003A52BC" w:rsidP="003A52BC">
      <w:r>
        <w:t>Az alapítványosodás folyamata, a New Public Management gyakorlatainak elterjedése a felsőoktatás irányításban és szervezésben sok olyan elemet tett mérhetővé, amely korábban nem vagy alig volt a figyelem középpontjában akadémiai szinten.</w:t>
      </w:r>
    </w:p>
    <w:p w:rsidR="003A52BC" w:rsidRDefault="003A52BC" w:rsidP="003A52BC">
      <w:r>
        <w:t>Ugyanakkor az egyetemek egyik első és talán legfontosabb feladata, az oktatás mérhetőségében továbbra sok potenciál rejlik.</w:t>
      </w:r>
    </w:p>
    <w:p w:rsidR="003A52BC" w:rsidRDefault="003A52BC" w:rsidP="003A52BC">
      <w:r>
        <w:t>Miből áll egy egyetemi képzés értéke? Mi és hogyan mérhető ezekből az elemekből?</w:t>
      </w:r>
    </w:p>
    <w:p w:rsidR="003A52BC" w:rsidRDefault="003A52BC" w:rsidP="003A52BC">
      <w:r>
        <w:t>Absztrakt angol:</w:t>
      </w:r>
    </w:p>
    <w:p w:rsidR="003A52BC" w:rsidRDefault="003A52BC" w:rsidP="003A52BC">
      <w:r>
        <w:t>Since 2019, the Hungarian higher education system has undergone significant structural and organizational transformation.</w:t>
      </w:r>
    </w:p>
    <w:p w:rsidR="003A52BC" w:rsidRDefault="003A52BC" w:rsidP="003A52BC">
      <w:r>
        <w:t>The process of a new foundation based system and the spread of New Public Management practices in the governance and organization of higher education have made many elements measurable that were previously barely or not at all in focus at the academic level.</w:t>
      </w:r>
    </w:p>
    <w:p w:rsidR="003A52BC" w:rsidRDefault="003A52BC" w:rsidP="003A52BC">
      <w:r>
        <w:t>At the same time, one of the universities' primary and perhaps most important tasks—the measurability of education—still holds considerable potential.</w:t>
      </w:r>
    </w:p>
    <w:p w:rsidR="003A52BC" w:rsidRDefault="003A52BC" w:rsidP="003A52BC">
      <w:r>
        <w:t xml:space="preserve">What constitutes the value of </w:t>
      </w:r>
      <w:proofErr w:type="gramStart"/>
      <w:r>
        <w:t>a</w:t>
      </w:r>
      <w:proofErr w:type="gramEnd"/>
      <w:r>
        <w:t xml:space="preserve"> university programme? Which elements can be measured, and how can these be assessed?</w:t>
      </w:r>
    </w:p>
    <w:p w:rsidR="003A52BC" w:rsidRDefault="003A52BC" w:rsidP="003A52BC">
      <w:r>
        <w:t>Az előadáshoz kapcsolódóan 3-3 kulcsszó magyarul és angolul:</w:t>
      </w:r>
    </w:p>
    <w:p w:rsidR="003A52BC" w:rsidRDefault="003A52BC" w:rsidP="003A52BC">
      <w:r>
        <w:t>Felsőoktatás, Képzés, Mérés</w:t>
      </w:r>
    </w:p>
    <w:p w:rsidR="003A52BC" w:rsidRDefault="003A52BC" w:rsidP="003A52BC">
      <w:r>
        <w:t>Higher Education, Programme, Measuring</w:t>
      </w:r>
    </w:p>
    <w:sectPr w:rsidR="003A52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2BC"/>
    <w:rsid w:val="003A52BC"/>
    <w:rsid w:val="00504C47"/>
    <w:rsid w:val="00670373"/>
    <w:rsid w:val="00B5278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2EED88-A268-4B1B-810C-05012DCFC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3101</Words>
  <Characters>21398</Characters>
  <Application>Microsoft Office Word</Application>
  <DocSecurity>0</DocSecurity>
  <Lines>178</Lines>
  <Paragraphs>48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Könyvtár</dc:creator>
  <cp:keywords/>
  <dc:description/>
  <cp:lastModifiedBy>Könyvtár</cp:lastModifiedBy>
  <cp:revision>2</cp:revision>
  <dcterms:created xsi:type="dcterms:W3CDTF">2025-05-16T06:11:00Z</dcterms:created>
  <dcterms:modified xsi:type="dcterms:W3CDTF">2025-05-16T06:11:00Z</dcterms:modified>
</cp:coreProperties>
</file>